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96" w:rsidRPr="00192242" w:rsidRDefault="00316096" w:rsidP="00316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92242">
        <w:rPr>
          <w:rFonts w:ascii="Times New Roman CYR" w:hAnsi="Times New Roman CYR" w:cs="Times New Roman CYR"/>
          <w:b/>
          <w:bCs/>
          <w:sz w:val="24"/>
          <w:szCs w:val="24"/>
        </w:rPr>
        <w:t xml:space="preserve">Пояснительная записка </w:t>
      </w:r>
    </w:p>
    <w:p w:rsidR="00316096" w:rsidRPr="0068059C" w:rsidRDefault="00316096" w:rsidP="00680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192242">
        <w:rPr>
          <w:rFonts w:ascii="Times New Roman CYR" w:hAnsi="Times New Roman CYR" w:cs="Times New Roman CYR"/>
          <w:b/>
          <w:bCs/>
          <w:sz w:val="24"/>
          <w:szCs w:val="24"/>
        </w:rPr>
        <w:t xml:space="preserve">к докладу Главы </w:t>
      </w:r>
      <w:r w:rsidRPr="00192242">
        <w:rPr>
          <w:rFonts w:ascii="Times New Roman CYR" w:hAnsi="Times New Roman CYR" w:cs="Times New Roman CYR"/>
          <w:b/>
          <w:sz w:val="24"/>
          <w:szCs w:val="24"/>
        </w:rPr>
        <w:t>Эвенкийского муниципального района</w:t>
      </w:r>
      <w:r w:rsidR="0068059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92242">
        <w:rPr>
          <w:rFonts w:ascii="Times New Roman CYR" w:hAnsi="Times New Roman CYR" w:cs="Times New Roman CYR"/>
          <w:b/>
          <w:bCs/>
          <w:sz w:val="24"/>
          <w:szCs w:val="24"/>
        </w:rPr>
        <w:t>о достигнутых значениях показателей для оценки эффективности деятельности органов местного самоуправления муниципальных, городских округ</w:t>
      </w:r>
      <w:r w:rsidR="000561F5">
        <w:rPr>
          <w:rFonts w:ascii="Times New Roman CYR" w:hAnsi="Times New Roman CYR" w:cs="Times New Roman CYR"/>
          <w:b/>
          <w:bCs/>
          <w:sz w:val="24"/>
          <w:szCs w:val="24"/>
        </w:rPr>
        <w:t xml:space="preserve">ов и муниципальных районов </w:t>
      </w:r>
      <w:r w:rsidR="0068059C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</w:t>
      </w:r>
      <w:r w:rsidR="00674585">
        <w:rPr>
          <w:rFonts w:ascii="Times New Roman CYR" w:hAnsi="Times New Roman CYR" w:cs="Times New Roman CYR"/>
          <w:b/>
          <w:bCs/>
          <w:sz w:val="24"/>
          <w:szCs w:val="24"/>
        </w:rPr>
        <w:t>за 2024</w:t>
      </w:r>
      <w:r w:rsidRPr="00192242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 и их планируемых значениях на 3-летний период</w:t>
      </w:r>
    </w:p>
    <w:p w:rsidR="004714FC" w:rsidRPr="00192242" w:rsidRDefault="004714FC" w:rsidP="00316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6096" w:rsidRPr="005D2825" w:rsidRDefault="00316096" w:rsidP="00316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D2825">
        <w:rPr>
          <w:rFonts w:ascii="Times New Roman CYR" w:hAnsi="Times New Roman CYR" w:cs="Times New Roman CYR"/>
          <w:sz w:val="24"/>
          <w:szCs w:val="24"/>
        </w:rPr>
        <w:t xml:space="preserve">Доклад Главы Эвенкийского муниципального района о достигнутых значениях показателей для оценки эффективности деятельности органов местного самоуправления </w:t>
      </w:r>
      <w:r w:rsidR="00AA283F" w:rsidRPr="005D2825">
        <w:rPr>
          <w:rFonts w:ascii="Times New Roman CYR" w:hAnsi="Times New Roman CYR" w:cs="Times New Roman CYR"/>
          <w:sz w:val="24"/>
          <w:szCs w:val="24"/>
        </w:rPr>
        <w:t xml:space="preserve">муниципальных, </w:t>
      </w:r>
      <w:r w:rsidRPr="005D2825">
        <w:rPr>
          <w:rFonts w:ascii="Times New Roman CYR" w:hAnsi="Times New Roman CYR" w:cs="Times New Roman CYR"/>
          <w:sz w:val="24"/>
          <w:szCs w:val="24"/>
        </w:rPr>
        <w:t xml:space="preserve">городских округов и муниципальных районов </w:t>
      </w:r>
      <w:r w:rsidR="00AA283F" w:rsidRPr="005D2825">
        <w:rPr>
          <w:rFonts w:ascii="Times New Roman CYR" w:hAnsi="Times New Roman CYR" w:cs="Times New Roman CYR"/>
          <w:sz w:val="24"/>
          <w:szCs w:val="24"/>
        </w:rPr>
        <w:t xml:space="preserve">края </w:t>
      </w:r>
      <w:r w:rsidRPr="005D2825">
        <w:rPr>
          <w:rFonts w:ascii="Times New Roman CYR" w:hAnsi="Times New Roman CYR" w:cs="Times New Roman CYR"/>
          <w:sz w:val="24"/>
          <w:szCs w:val="24"/>
        </w:rPr>
        <w:t>по итогам 202</w:t>
      </w:r>
      <w:r w:rsidR="00674585">
        <w:rPr>
          <w:rFonts w:ascii="Times New Roman CYR" w:hAnsi="Times New Roman CYR" w:cs="Times New Roman CYR"/>
          <w:sz w:val="24"/>
          <w:szCs w:val="24"/>
        </w:rPr>
        <w:t>4</w:t>
      </w:r>
      <w:r w:rsidRPr="005D2825">
        <w:rPr>
          <w:rFonts w:ascii="Times New Roman CYR" w:hAnsi="Times New Roman CYR" w:cs="Times New Roman CYR"/>
          <w:sz w:val="24"/>
          <w:szCs w:val="24"/>
        </w:rPr>
        <w:t xml:space="preserve"> года (далее – доклад) подготовлен в целях исполнения:</w:t>
      </w:r>
    </w:p>
    <w:p w:rsidR="00316096" w:rsidRPr="005D2825" w:rsidRDefault="00316096" w:rsidP="00316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D2825">
        <w:rPr>
          <w:rFonts w:ascii="Times New Roman CYR" w:hAnsi="Times New Roman CYR" w:cs="Times New Roman CYR"/>
          <w:sz w:val="24"/>
          <w:szCs w:val="24"/>
        </w:rPr>
        <w:t xml:space="preserve"> - Указа Президента Российской Федерации от 28.04.2008 № 607 «Об оценке эффективности деятельности органов местного самоуправления </w:t>
      </w:r>
      <w:r w:rsidR="00AA283F" w:rsidRPr="005D2825">
        <w:rPr>
          <w:rFonts w:ascii="Times New Roman CYR" w:hAnsi="Times New Roman CYR" w:cs="Times New Roman CYR"/>
          <w:sz w:val="24"/>
          <w:szCs w:val="24"/>
        </w:rPr>
        <w:t xml:space="preserve">муниципальных, </w:t>
      </w:r>
      <w:r w:rsidRPr="005D2825">
        <w:rPr>
          <w:rFonts w:ascii="Times New Roman CYR" w:hAnsi="Times New Roman CYR" w:cs="Times New Roman CYR"/>
          <w:sz w:val="24"/>
          <w:szCs w:val="24"/>
        </w:rPr>
        <w:t>городских округов и муниципальных районов»;</w:t>
      </w:r>
    </w:p>
    <w:p w:rsidR="00316096" w:rsidRPr="005D2825" w:rsidRDefault="00316096" w:rsidP="00316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D2825">
        <w:rPr>
          <w:rFonts w:ascii="Times New Roman CYR" w:hAnsi="Times New Roman CYR" w:cs="Times New Roman CYR"/>
          <w:sz w:val="24"/>
          <w:szCs w:val="24"/>
        </w:rPr>
        <w:t xml:space="preserve"> - Постановления Правительства Российской Федерации от 17.12.2012 №1317 </w:t>
      </w:r>
      <w:r w:rsidR="000E6EF8" w:rsidRPr="005D2825">
        <w:rPr>
          <w:rFonts w:ascii="Times New Roman CYR" w:hAnsi="Times New Roman CYR" w:cs="Times New Roman CYR"/>
          <w:sz w:val="24"/>
          <w:szCs w:val="24"/>
        </w:rPr>
        <w:t xml:space="preserve">           </w:t>
      </w:r>
      <w:r w:rsidRPr="005D2825">
        <w:rPr>
          <w:rFonts w:ascii="Times New Roman CYR" w:hAnsi="Times New Roman CYR" w:cs="Times New Roman CYR"/>
          <w:sz w:val="24"/>
          <w:szCs w:val="24"/>
        </w:rPr>
        <w:t xml:space="preserve">«О мерах по реализации Указа Президента Российской Федерации от 28.04.2008 № 607 </w:t>
      </w:r>
      <w:r w:rsidR="000E6EF8" w:rsidRPr="005D2825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5D2825">
        <w:rPr>
          <w:rFonts w:ascii="Times New Roman CYR" w:hAnsi="Times New Roman CYR" w:cs="Times New Roman CYR"/>
          <w:sz w:val="24"/>
          <w:szCs w:val="24"/>
        </w:rPr>
        <w:t xml:space="preserve">«Об оценке </w:t>
      </w:r>
      <w:proofErr w:type="gramStart"/>
      <w:r w:rsidRPr="005D2825">
        <w:rPr>
          <w:rFonts w:ascii="Times New Roman CYR" w:hAnsi="Times New Roman CYR" w:cs="Times New Roman CYR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5D2825">
        <w:rPr>
          <w:rFonts w:ascii="Times New Roman CYR" w:hAnsi="Times New Roman CYR" w:cs="Times New Roman CYR"/>
          <w:sz w:val="24"/>
          <w:szCs w:val="24"/>
        </w:rPr>
        <w:t xml:space="preserve"> и муниципальных районов»;</w:t>
      </w:r>
    </w:p>
    <w:p w:rsidR="00316096" w:rsidRPr="005A6302" w:rsidRDefault="00316096" w:rsidP="005A6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825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5A6302">
        <w:rPr>
          <w:rFonts w:ascii="Times New Roman" w:hAnsi="Times New Roman" w:cs="Times New Roman"/>
          <w:sz w:val="24"/>
          <w:szCs w:val="24"/>
        </w:rPr>
        <w:t xml:space="preserve">Указа Губернатора Красноярского края от 13.04.2009 № 60-уг «Об оценке эффективности деятельности органов местного самоуправления </w:t>
      </w:r>
      <w:r w:rsidR="00AA283F" w:rsidRPr="005A6302">
        <w:rPr>
          <w:rFonts w:ascii="Times New Roman" w:hAnsi="Times New Roman" w:cs="Times New Roman"/>
          <w:sz w:val="24"/>
          <w:szCs w:val="24"/>
        </w:rPr>
        <w:t xml:space="preserve">муниципальных, </w:t>
      </w:r>
      <w:r w:rsidRPr="005A6302">
        <w:rPr>
          <w:rFonts w:ascii="Times New Roman" w:hAnsi="Times New Roman" w:cs="Times New Roman"/>
          <w:sz w:val="24"/>
          <w:szCs w:val="24"/>
        </w:rPr>
        <w:t>городских округов и муниципальных районов Красноярского края».</w:t>
      </w:r>
    </w:p>
    <w:p w:rsidR="00316096" w:rsidRPr="005A6302" w:rsidRDefault="00316096" w:rsidP="005A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02">
        <w:rPr>
          <w:rFonts w:ascii="Times New Roman" w:hAnsi="Times New Roman" w:cs="Times New Roman"/>
          <w:sz w:val="24"/>
          <w:szCs w:val="24"/>
        </w:rPr>
        <w:t xml:space="preserve">Доклад, подписанный Главой района, размещен на официальном сайте органов МСУ Эвенкийского муниципального района с адресом в информационно-телекоммуникационной сети Интернет - </w:t>
      </w:r>
      <w:hyperlink r:id="rId8" w:history="1">
        <w:r w:rsidR="005A6302" w:rsidRPr="005A6302">
          <w:rPr>
            <w:rStyle w:val="a3"/>
            <w:rFonts w:ascii="Times New Roman" w:hAnsi="Times New Roman"/>
            <w:color w:val="auto"/>
            <w:sz w:val="24"/>
            <w:szCs w:val="24"/>
          </w:rPr>
          <w:t>https://evenkiya-r04.gosweb.gosuslugi.ru/deyatelnost/napravleniya-deyatelnosti/ekonomika/doklad-o-dostignutyh-znacheniyah-pokazateley/</w:t>
        </w:r>
      </w:hyperlink>
    </w:p>
    <w:p w:rsidR="005A6302" w:rsidRDefault="005A6302" w:rsidP="00316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16096" w:rsidRPr="00A905A1" w:rsidRDefault="00316096" w:rsidP="00316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905A1">
        <w:rPr>
          <w:rFonts w:ascii="Times New Roman" w:hAnsi="Times New Roman"/>
          <w:b/>
          <w:bCs/>
          <w:color w:val="000000"/>
          <w:sz w:val="24"/>
          <w:szCs w:val="24"/>
        </w:rPr>
        <w:t>I. Экономическое развитие</w:t>
      </w:r>
    </w:p>
    <w:p w:rsidR="00290B68" w:rsidRPr="00A905A1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90B68" w:rsidRPr="00A905A1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905A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 Число субъектов малого и среднего предпринимательства</w:t>
      </w:r>
    </w:p>
    <w:p w:rsidR="00290B68" w:rsidRPr="00A905A1" w:rsidRDefault="0052121B" w:rsidP="0052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905A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5152B6" w:rsidRDefault="005152B6" w:rsidP="00C46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152B6" w:rsidRPr="005152B6" w:rsidRDefault="005152B6" w:rsidP="005152B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На территории Эвенкийского муниципального района зарегистрировано 385 субъектов малого и среднего предпринимательства. По сравнению с прошлым годом количество субъектов уменьшилось на 36 единиц. Число субъектов малого и сре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днего предпринимательства на 10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000 человек в 2024 году составило 293,24 единицы, что на 7,7% меньше, чем в 2023 году. Снижение значения показателя связано с уменьшением количества субъектов малого и среднего предпринимательства.</w:t>
      </w:r>
    </w:p>
    <w:p w:rsidR="005152B6" w:rsidRPr="005152B6" w:rsidRDefault="005152B6" w:rsidP="00515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proofErr w:type="gramStart"/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2024 году составила 9,69 %, в 2023 году значение показателя составляла 10,57%. Снижение значения показателя произошло в связи с уменьшением количества субъектов малого и среднего предпринимательства и, как следствие, уменьшения численности занятых в сфере малого и среднего предпринимательства.</w:t>
      </w:r>
      <w:proofErr w:type="gramEnd"/>
    </w:p>
    <w:p w:rsidR="005152B6" w:rsidRPr="005152B6" w:rsidRDefault="005152B6" w:rsidP="0051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Тенденция роста, в прогнозном периоде, данного показателя обусловлена тем, что среднесписочная численность работников малых и средних предприятий, по отношению к среднесписочной численности работников крупных и средних предприятий и некоммерческих организаций увеличивается значительно больше. </w:t>
      </w:r>
    </w:p>
    <w:p w:rsidR="005152B6" w:rsidRPr="005152B6" w:rsidRDefault="005152B6" w:rsidP="005152B6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Развитие малого и среднего предпринимательства создает благоприятные условия для оздоровления экономики, поскольку развивается конкурентная среда, создаются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lastRenderedPageBreak/>
        <w:t xml:space="preserve">дополнительные рабочие места, активнее идет структурная перестройка, расширяется потребительский сектор. Кроме того, развитие предпринимательства ведет к насыщению рынка товарами и услугами, лучшему использованию местных сырьевых ресурсов. </w:t>
      </w:r>
    </w:p>
    <w:p w:rsidR="005152B6" w:rsidRPr="005152B6" w:rsidRDefault="005152B6" w:rsidP="00515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Предпринимательство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цивилизованных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формах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является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важным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условием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оздоровления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не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только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экономики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,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но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всей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общественной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жизни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.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Однако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процесс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формирования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малого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> 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среднего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предпринимательства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различных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сферах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общественной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жизни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Эвенкийском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районе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идет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пока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трудно</w:t>
      </w:r>
      <w:r w:rsidRPr="005152B6">
        <w:rPr>
          <w:rFonts w:ascii="Calibri" w:eastAsiaTheme="minorHAnsi" w:hAnsi="Calibri" w:cs="Calibri"/>
          <w:sz w:val="24"/>
          <w:szCs w:val="24"/>
          <w:lang w:eastAsia="en-US"/>
        </w:rPr>
        <w:t xml:space="preserve">. </w:t>
      </w:r>
    </w:p>
    <w:p w:rsidR="005152B6" w:rsidRPr="005152B6" w:rsidRDefault="005152B6" w:rsidP="00515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proofErr w:type="gramStart"/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целях создания благоприятных условий для устойчивого функционирования и развития малого и среднего предпринимательства на территории района реализуется подпрограмма «Поддержка малого и среднего</w:t>
      </w:r>
      <w:r w:rsidRPr="005152B6">
        <w:rPr>
          <w:rFonts w:ascii="Times New Roman CYR" w:eastAsiaTheme="minorHAnsi" w:hAnsi="Times New Roman CYR" w:cs="Times New Roman CYR"/>
          <w:spacing w:val="-8"/>
          <w:sz w:val="24"/>
          <w:szCs w:val="24"/>
          <w:lang w:eastAsia="en-US"/>
        </w:rPr>
        <w:t xml:space="preserve"> </w:t>
      </w: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предпринимательства» в рамках муниципальной программы «Развитие и поддержка отраслей экономики Эвенкийского муниципального района», направленная на оказание финансовой, имущественной и информационной поддержки субъектам малого и среднего предпринимательства.</w:t>
      </w:r>
      <w:proofErr w:type="gramEnd"/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 2024 году </w:t>
      </w:r>
      <w:proofErr w:type="gramStart"/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</w:t>
      </w:r>
      <w:proofErr w:type="gramEnd"/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proofErr w:type="gramStart"/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одному</w:t>
      </w:r>
      <w:proofErr w:type="gramEnd"/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субъекту предпринимательства предоставлена имущественная поддержка, трем субъектам предпринимательства предоставлена финансовая поддержка в размере 1 019,945 тыс. руб., получателями поддержки сохранено 10 рабочих мест. </w:t>
      </w:r>
      <w:proofErr w:type="gramStart"/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В целях повышения информированности субъектов предпринимательства о действующих государственных и муниципальных мерах поддержки на постоянной основе проводится информационное освещение темы поддержки малого и среднего предпринимательства путем размещения в средствах массовой информации и на официальном сайте Эвенкийского муниципального района информационных материалов. </w:t>
      </w:r>
      <w:proofErr w:type="gramEnd"/>
    </w:p>
    <w:p w:rsidR="005152B6" w:rsidRPr="005152B6" w:rsidRDefault="005152B6" w:rsidP="0051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В 2025-2027 годах планируется продолжить поддержку предпринимательской деятельности в рамках муниципальной программы «Развитие и поддержка отраслей экономики </w:t>
      </w:r>
      <w:proofErr w:type="gramStart"/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Эвенкийского</w:t>
      </w:r>
      <w:proofErr w:type="gramEnd"/>
      <w:r w:rsidRPr="005152B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муниципального района».</w:t>
      </w:r>
    </w:p>
    <w:p w:rsidR="005152B6" w:rsidRPr="005152B6" w:rsidRDefault="005152B6" w:rsidP="0051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tbl>
      <w:tblPr>
        <w:tblW w:w="0" w:type="auto"/>
        <w:tblInd w:w="113" w:type="dxa"/>
        <w:tblLayout w:type="fixed"/>
        <w:tblLook w:val="0000"/>
      </w:tblPr>
      <w:tblGrid>
        <w:gridCol w:w="4248"/>
        <w:gridCol w:w="890"/>
        <w:gridCol w:w="1043"/>
        <w:gridCol w:w="959"/>
        <w:gridCol w:w="1133"/>
        <w:gridCol w:w="1078"/>
      </w:tblGrid>
      <w:tr w:rsidR="005152B6" w:rsidRPr="005152B6" w:rsidTr="005152B6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Наименование показателя и единицы измерения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5152B6" w:rsidRPr="005152B6" w:rsidTr="005152B6">
        <w:trPr>
          <w:trHeight w:val="669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2023 факт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2024 отчет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2025 оценка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2026 прогноз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2027 прогноз</w:t>
            </w:r>
          </w:p>
        </w:tc>
      </w:tr>
      <w:tr w:rsidR="005152B6" w:rsidRPr="005152B6" w:rsidTr="005152B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1. Количество малых и </w:t>
            </w:r>
            <w:proofErr w:type="spellStart"/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микропредприятий</w:t>
            </w:r>
            <w:proofErr w:type="spellEnd"/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57</w:t>
            </w:r>
          </w:p>
        </w:tc>
      </w:tr>
      <w:tr w:rsidR="005152B6" w:rsidRPr="005152B6" w:rsidTr="005152B6">
        <w:trPr>
          <w:trHeight w:val="58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2. Количество средних предприятий, ед.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152B6" w:rsidRPr="005152B6" w:rsidTr="005152B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3. Количество индивидуальных предпринимателей, ед.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354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329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332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337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340</w:t>
            </w:r>
          </w:p>
        </w:tc>
      </w:tr>
      <w:tr w:rsidR="005152B6" w:rsidRPr="005152B6" w:rsidTr="005152B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3.1. в том числе количество крестьянско-фермерских хозяйств, ед.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152B6" w:rsidRPr="005152B6" w:rsidTr="005152B6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 w:rsidRPr="005152B6">
              <w:rPr>
                <w:rFonts w:ascii="Times New Roman CYR" w:eastAsiaTheme="minorHAnsi" w:hAnsi="Times New Roman CYR" w:cs="Times New Roman CYR"/>
                <w:bCs/>
                <w:sz w:val="24"/>
                <w:szCs w:val="24"/>
                <w:lang w:eastAsia="en-US"/>
              </w:rPr>
              <w:t>на</w:t>
            </w:r>
            <w:r w:rsidRPr="005152B6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r w:rsidRPr="005152B6">
              <w:rPr>
                <w:rFonts w:ascii="Times New Roman CYR" w:eastAsiaTheme="minorHAnsi" w:hAnsi="Times New Roman CYR" w:cs="Times New Roman CYR"/>
                <w:bCs/>
                <w:sz w:val="24"/>
                <w:szCs w:val="24"/>
                <w:lang w:eastAsia="en-US"/>
              </w:rPr>
              <w:t>конец отчетного года</w:t>
            </w:r>
            <w:r w:rsidRPr="005152B6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, чел.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13 258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13129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13008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12888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12820</w:t>
            </w:r>
          </w:p>
        </w:tc>
      </w:tr>
      <w:tr w:rsidR="005152B6" w:rsidRPr="005152B6" w:rsidTr="005152B6">
        <w:trPr>
          <w:trHeight w:val="5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317,54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293,24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298,28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305,71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310,45</w:t>
            </w:r>
          </w:p>
        </w:tc>
      </w:tr>
      <w:tr w:rsidR="005152B6" w:rsidRPr="005152B6" w:rsidTr="00B53B8E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6. Среднесписочная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численность работников малых и </w:t>
            </w:r>
            <w:proofErr w:type="spellStart"/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микропредприятий</w:t>
            </w:r>
            <w:proofErr w:type="spellEnd"/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, чел.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475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391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398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405</w:t>
            </w:r>
          </w:p>
        </w:tc>
      </w:tr>
      <w:tr w:rsidR="005152B6" w:rsidRPr="005152B6" w:rsidTr="00B53B8E">
        <w:trPr>
          <w:trHeight w:val="6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441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415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418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425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428</w:t>
            </w:r>
          </w:p>
        </w:tc>
      </w:tr>
      <w:tr w:rsidR="005152B6" w:rsidRPr="005152B6" w:rsidTr="00B53B8E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lastRenderedPageBreak/>
              <w:t>7.1. в том числе в крестьянско-фермерских хозяйствах, чел.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152B6" w:rsidRPr="005152B6" w:rsidTr="005152B6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208</w:t>
            </w:r>
          </w:p>
        </w:tc>
      </w:tr>
      <w:tr w:rsidR="005152B6" w:rsidRPr="005152B6" w:rsidTr="005152B6">
        <w:trPr>
          <w:trHeight w:val="9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12 771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12 671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12 671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12671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12671</w:t>
            </w:r>
          </w:p>
        </w:tc>
      </w:tr>
      <w:tr w:rsidR="005152B6" w:rsidRPr="005152B6" w:rsidTr="005152B6">
        <w:trPr>
          <w:trHeight w:val="14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 xml:space="preserve">10. </w:t>
            </w:r>
            <w:proofErr w:type="gramStart"/>
            <w:r w:rsidRPr="005152B6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10,57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9,69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9,77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9,89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2B6" w:rsidRPr="005152B6" w:rsidRDefault="005152B6" w:rsidP="005152B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</w:pPr>
            <w:r w:rsidRPr="005152B6">
              <w:rPr>
                <w:rFonts w:ascii="Times New Roman CYR" w:eastAsiaTheme="minorHAnsi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>9,98</w:t>
            </w:r>
          </w:p>
        </w:tc>
      </w:tr>
    </w:tbl>
    <w:p w:rsidR="005152B6" w:rsidRPr="005152B6" w:rsidRDefault="005152B6" w:rsidP="005152B6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FFFFFF"/>
          <w:sz w:val="24"/>
          <w:szCs w:val="24"/>
          <w:highlight w:val="white"/>
          <w:lang w:eastAsia="en-US"/>
        </w:rPr>
      </w:pPr>
    </w:p>
    <w:p w:rsidR="005152B6" w:rsidRPr="005152B6" w:rsidRDefault="005152B6" w:rsidP="005152B6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12"/>
          <w:szCs w:val="12"/>
          <w:lang w:eastAsia="en-US"/>
        </w:rPr>
      </w:pPr>
    </w:p>
    <w:p w:rsidR="009D4434" w:rsidRPr="0055597A" w:rsidRDefault="009D4434" w:rsidP="0055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5597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 Объем инвестиций в основной капитал (за исключением бюджетных средств) в расчете на 1 человека</w:t>
      </w:r>
    </w:p>
    <w:p w:rsidR="009D4434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4434" w:rsidRPr="0055597A" w:rsidRDefault="009D4434" w:rsidP="009D44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Одним из показателей, характеризующих развитие экономики 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>муниципального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</w:rPr>
        <w:t xml:space="preserve"> образования, является показатель инвестиционной активности – объем инвестиций в основной капитал.</w:t>
      </w:r>
    </w:p>
    <w:p w:rsidR="009D4434" w:rsidRPr="0055597A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>В 2024 году объем инвестиций в основной капитал (за исключением бюджетных средств) в расчете на 1 жителя муниципального района увеличился (3,1%) относительно уровня 2023 года и составил 4 354514,97 руб. В сопоставимых ценах темп роста объема инвестиций в 2024 году составил 94,1 %.</w:t>
      </w:r>
    </w:p>
    <w:p w:rsidR="009D4434" w:rsidRPr="0055597A" w:rsidRDefault="009D4434" w:rsidP="009D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>Рост показателя обусловлен увеличением общего объема инвестиций в основной капитал в отчетном периоде на 101,6 % в действующих ценах    (с 56 784 147,0 тыс. руб. в 2023 году до 57 691 835,0 тыс. руб. в 2024 году), в сопоставимых ценах на 92,78 %.</w:t>
      </w:r>
    </w:p>
    <w:p w:rsidR="009D4434" w:rsidRPr="0055597A" w:rsidRDefault="009D4434" w:rsidP="009D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Положительная динамика в 2024 году сложилась за счет таких отраслей как: 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добыча полезных ископаемых – объем инвестиций составил 52 874 608,0 тыс. руб. или 1,6 % выше уровня 2023 года (52 035 350,0 тыс. руб.), что обусловлено развитием инфраструктуры нефтяных месторождений на территории района; 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обеспечение электрической энергией, газом и паром; кондиционирование воздуха – объем инвестиций составил 365 639,0 тыс. руб. или 33,8 % выше уровня 2023 года (273 371,0 тыс. руб.); 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транспортировка и хранение - объем инвестиций за отчетный период составил 178 041,0 тыс. руб., что на 86,8 % выше уровня 2023 года (95 303,0 тыс. руб.); 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>деятельность в области здравоохранения и социальных услуг – объем инвестиций составил 73 405,0 тыс. руб., что на 4,8 % выше уровня 2023 года (70 043,0 тыс. руб.);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 деятельность административная и сопутствующие дополнительные услуги - объем инвестиций составил 25 174,0 тыс. руб., что выше уровня 2023 года в 2,6 раза (9 504,0 тыс. руб.).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Снижение инвестиций сложилось в следующих отраслях: 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>деятельность гостиниц и предприятий общественного питания – объем инвестиций составил 195 692,0 тыс. руб., что ниже уровня 2023 года на 8,6 % (214 185,0 тыс. руб.);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lastRenderedPageBreak/>
        <w:t>государственное управление и обеспечение военной безопасности; социальное обеспечение - объем инвестиций составил 10 230,0 тыс. руб., что ниже уровня 2023 года на 51,8 % (21 236,0 тыс. руб.);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 - объем инвестиций составил 3 380,0 тыс. руб., что ниже уровня 2023 года на 4,3 % (3 242,0 тыс. руб.);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деятельность в области информации и связи - объем инвестиций составил 8 591,0 тыс. руб., что ниже уровня 2023 года на 48,9 % (16 816,0 тыс. руб.); 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деятельность в области культуры, спорта, организации досуга и развлечений - объем инвестиций составил 10 448,0 тыс. руб., что на 49,3 % ниже уровня 2023 года (20 604,0 тыс. руб.); 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>образование – объем инвестиций за отчетный период составил 38 492,0 тыс. руб., что на 92 % ниже уровня 2023 года (485 757,0 тыс. руб.).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>На территории района реализуются следующие инвестиционные проекты: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 АО «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Востсибнефтегаз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» - «Освоение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Юрубчено-Тохомского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 месторождения»: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С 2017 года компанией «Роснефть» начата эксплуатация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Юрубчено-Тохомского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 месторождения в режиме комплексного технологического опробования. </w:t>
      </w:r>
      <w:r w:rsidRPr="0055597A">
        <w:rPr>
          <w:rFonts w:ascii="Times New Roman CYR" w:hAnsi="Times New Roman CYR" w:cs="Times New Roman CYR"/>
          <w:sz w:val="24"/>
          <w:szCs w:val="24"/>
          <w:highlight w:val="white"/>
        </w:rPr>
        <w:t>Приток нефти с дебитом в 603 м</w:t>
      </w:r>
      <w:r w:rsidRPr="0055597A">
        <w:rPr>
          <w:rFonts w:ascii="Times New Roman CYR" w:hAnsi="Times New Roman CYR" w:cs="Times New Roman CYR"/>
          <w:sz w:val="24"/>
          <w:szCs w:val="24"/>
          <w:highlight w:val="white"/>
          <w:vertAlign w:val="superscript"/>
        </w:rPr>
        <w:t>3</w:t>
      </w:r>
      <w:r w:rsidRPr="0055597A">
        <w:rPr>
          <w:rFonts w:ascii="Times New Roman CYR" w:hAnsi="Times New Roman CYR" w:cs="Times New Roman CYR"/>
          <w:sz w:val="24"/>
          <w:szCs w:val="24"/>
          <w:highlight w:val="white"/>
        </w:rPr>
        <w:t> в сутки получен специалистами «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highlight w:val="white"/>
        </w:rPr>
        <w:t>Восточно-Сибирской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нефтегазовой компании» в ходе бурения разведочной многозабойной скважины на залежи «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highlight w:val="white"/>
        </w:rPr>
        <w:t>Намакарская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2». Полученный стартовый объем нефти стал рекордным за всю 15-летнюю историю поисково-разведочного бурения на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highlight w:val="white"/>
        </w:rPr>
        <w:t>Юрубчено-Тохомском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месторождении.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В 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>рамках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</w:rPr>
        <w:t xml:space="preserve"> реализации газовой программы на месторождении ведется строительство масштабной инфраструктуры, соответствующей мировым стандартам качества и безопасности. Суммарная продуктивность объектов первой очереди – 2 млрд. м</w:t>
      </w:r>
      <w:r w:rsidRPr="0055597A">
        <w:rPr>
          <w:rFonts w:ascii="Times New Roman" w:hAnsi="Times New Roman" w:cs="Times New Roman"/>
          <w:sz w:val="24"/>
          <w:szCs w:val="24"/>
        </w:rPr>
        <w:t xml:space="preserve">³ </w:t>
      </w:r>
      <w:r w:rsidRPr="0055597A">
        <w:rPr>
          <w:rFonts w:ascii="Times New Roman CYR" w:hAnsi="Times New Roman CYR" w:cs="Times New Roman CYR"/>
          <w:sz w:val="24"/>
          <w:szCs w:val="24"/>
        </w:rPr>
        <w:t xml:space="preserve">в год. Реализация газовой программы внесёт большой вклад в сокращение выбросов вредных веществ и охрану окружающей среды. После выхода на полную мощность комплекс поможет рационально использовать до 5 миллиардов кубометров попутного газа в год. 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По итогам 2024 года компания получила экономический эффект более 1 </w:t>
      </w:r>
      <w:proofErr w:type="spellStart"/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>млрд</w:t>
      </w:r>
      <w:proofErr w:type="spellEnd"/>
      <w:proofErr w:type="gramEnd"/>
      <w:r w:rsidRPr="0055597A">
        <w:rPr>
          <w:rFonts w:ascii="Times New Roman CYR" w:hAnsi="Times New Roman CYR" w:cs="Times New Roman CYR"/>
          <w:sz w:val="24"/>
          <w:szCs w:val="24"/>
        </w:rPr>
        <w:t xml:space="preserve"> рублей, благодаря разработанным проектам по повышению производственной эффективности.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В 2024 году специалисты предприятия внедрили 26 новаторских решений. 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 xml:space="preserve">Один из наиболее эффективных проектов связан с оптимизацией ресурсов, направляемых на геологоразведочные работы. </w:t>
      </w:r>
      <w:proofErr w:type="gramEnd"/>
    </w:p>
    <w:p w:rsidR="009D4434" w:rsidRPr="0055597A" w:rsidRDefault="009D4434" w:rsidP="009D4434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>Системная работа по повышению производственной эффективности – один из ключевых элементов стратегии «Роснефть - 2030». Компания проводит планомерную работу по сокращению эксплуатационных затрат производственных объектов, в том числе за счет внедрения передовых технологических решений.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>ООО «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Славнефть-Красноярскнефтегаз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» – «Освоение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Куюмбинского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 месторождения»:</w:t>
      </w:r>
      <w:r w:rsidRPr="0055597A">
        <w:rPr>
          <w:rFonts w:ascii="Helvetica" w:hAnsi="Helvetica" w:cs="Helvetica"/>
          <w:sz w:val="24"/>
          <w:szCs w:val="24"/>
          <w:highlight w:val="white"/>
        </w:rPr>
        <w:t xml:space="preserve"> 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ab/>
        <w:t xml:space="preserve">Накопленная добыча нефти на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Куюмбинском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 месторождении с начала разработки превысила 7 млн. тонн, газа – более 4 </w:t>
      </w:r>
      <w:proofErr w:type="spellStart"/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>млрд</w:t>
      </w:r>
      <w:proofErr w:type="spellEnd"/>
      <w:proofErr w:type="gramEnd"/>
      <w:r w:rsidRPr="0055597A">
        <w:rPr>
          <w:rFonts w:ascii="Times New Roman CYR" w:hAnsi="Times New Roman CYR" w:cs="Times New Roman CYR"/>
          <w:sz w:val="24"/>
          <w:szCs w:val="24"/>
        </w:rPr>
        <w:t> куб. м.</w:t>
      </w:r>
      <w:r w:rsidRPr="0055597A">
        <w:rPr>
          <w:rFonts w:ascii="Calibri" w:hAnsi="Calibri" w:cs="Calibri"/>
          <w:sz w:val="24"/>
          <w:szCs w:val="24"/>
        </w:rPr>
        <w:t xml:space="preserve"> </w:t>
      </w:r>
      <w:r w:rsidRPr="0055597A">
        <w:rPr>
          <w:rFonts w:ascii="Times New Roman CYR" w:hAnsi="Times New Roman CYR" w:cs="Times New Roman CYR"/>
          <w:sz w:val="24"/>
          <w:szCs w:val="24"/>
        </w:rPr>
        <w:t xml:space="preserve">благодаря реализации проекта «Ранняя нефть», предусматривавшего досрочный запуск объектов подготовки и транспорта нефти и опережающие поставки сырья в магистральный нефтепровод Куюмба – Тайшет и далее в магистральный нефтепровод Восточная Сибирь – Тихий океан. Проект «Ранняя нефть» стартовал в 2015 году, а в 2018 году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Куюмбинское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 месторождение было запущено в промышленную разработку.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ab/>
        <w:t xml:space="preserve">Набранный темп в четыре раза превышает показатели начала промышленной добычи в 2018 году.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Доразведка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 лицензионного участка позволила с 2018 по 2023 годы прирастить запасы промышленных категорий нефти на 27%, газа - на 36%. При этом успешность геологоразведочных работ составила 100 % в поисковом и разведочном бурении.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lastRenderedPageBreak/>
        <w:t>В 2024 году компания «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Славнефть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 -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Красноярскнефтегаз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» получила экономический эффект более 900 млн. руб. благодаря мероприятиям, направленным на повышение производственной эффективности. Специалисты компании 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>разработали и внедрили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</w:rPr>
        <w:t xml:space="preserve"> 14 инноваций. Наибольший эффект дали проекты учета попутного нефтяного газа, модернизации системы ремонта электрооборудования, сокращения сроков строительства скважин.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В 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>числе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</w:rPr>
        <w:t xml:space="preserve"> высокоэффективных - также проекты оптимизации конструкции скважин при бурении в условиях поглощений и применение инновационного по своему составу растворителя для обработки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призабойной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 зоны пласта. Ожидаемый результат от внедрения разработок - повышение продуктивности добывающих скважин на 17%.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На прогнозный период до 2027 года динамика инвестиций будет определяться графиками реализации инвестиционных проектов по освоению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Юрубчено-Тохомского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Куюмбинского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 месторождений.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Также на территории района продолжается реализация 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>следующих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</w:rPr>
        <w:t xml:space="preserve"> проектов: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>«Организация лесоперерабатывающего производства в п. Чемдальск Красноярского края» ООО «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>Красноярский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</w:rPr>
        <w:t xml:space="preserve"> центр строительства». Цель проекта – создание вертикально-интегрированной структуры в области глубокой переработки древесины, организация выпуска продукции с высокой добавленной стоимостью. Период реализации проекта (с начала проектных работ до выхода на проектную мощность) – 2017-2023 годы. 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ab/>
        <w:t xml:space="preserve">Сумма вложенных с начала реализации Проекта инвестиций составила </w:t>
      </w:r>
      <w:r w:rsidRPr="0055597A">
        <w:rPr>
          <w:rFonts w:ascii="Times New Roman CYR" w:hAnsi="Times New Roman CYR" w:cs="Times New Roman CYR"/>
          <w:sz w:val="24"/>
          <w:szCs w:val="24"/>
          <w:highlight w:val="white"/>
        </w:rPr>
        <w:t>3 425,79</w:t>
      </w:r>
      <w:r w:rsidRPr="0055597A">
        <w:rPr>
          <w:rFonts w:ascii="Verdana" w:hAnsi="Verdana" w:cs="Verdana"/>
          <w:sz w:val="24"/>
          <w:szCs w:val="24"/>
          <w:highlight w:val="white"/>
        </w:rPr>
        <w:t xml:space="preserve"> </w:t>
      </w:r>
      <w:r w:rsidRPr="0055597A">
        <w:rPr>
          <w:rFonts w:ascii="Times New Roman CYR" w:hAnsi="Times New Roman CYR" w:cs="Times New Roman CYR"/>
          <w:sz w:val="24"/>
          <w:szCs w:val="24"/>
        </w:rPr>
        <w:t xml:space="preserve">млн. рублей. </w:t>
      </w:r>
      <w:r w:rsidRPr="0055597A">
        <w:rPr>
          <w:rFonts w:ascii="Times New Roman CYR" w:hAnsi="Times New Roman CYR" w:cs="Times New Roman CYR"/>
          <w:sz w:val="24"/>
          <w:szCs w:val="24"/>
          <w:highlight w:val="white"/>
        </w:rPr>
        <w:t>Создано новых рабочих мест в количестве 4</w:t>
      </w:r>
      <w:r w:rsidRPr="0055597A">
        <w:rPr>
          <w:rFonts w:ascii="Times New Roman CYR" w:hAnsi="Times New Roman CYR" w:cs="Times New Roman CYR"/>
          <w:sz w:val="24"/>
          <w:szCs w:val="24"/>
        </w:rPr>
        <w:t xml:space="preserve">29. 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В 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>рамках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</w:rPr>
        <w:t xml:space="preserve"> реализации Проекта осуществлены проектно-изыскательские работы, завершены работы по строительству здания общежития, РММ, цеха лесопиления, моста через р.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Катанга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, забора. Указанные объекты введены в эксплуатацию. 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>Поставлено и смонтировано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</w:rPr>
        <w:t xml:space="preserve"> оборудование Мини ТЭЦ, проведены пуско-наладочные работы; поставлено вспомогательное оборудование для Мини ТЭЦ, ТЭЦ введена в эксплуатацию; приобретен технологический и автомобильный транспорт, железнодорожный путь и другое оборудование. Осуществлен запуск цеха лесопиления. Объем производ</w:t>
      </w:r>
      <w:r w:rsidR="001F3092">
        <w:rPr>
          <w:rFonts w:ascii="Times New Roman CYR" w:hAnsi="Times New Roman CYR" w:cs="Times New Roman CYR"/>
          <w:sz w:val="24"/>
          <w:szCs w:val="24"/>
        </w:rPr>
        <w:t>ства пиломатериала составил 1,0 млн</w:t>
      </w:r>
      <w:r w:rsidRPr="0055597A">
        <w:rPr>
          <w:rFonts w:ascii="Times New Roman CYR" w:hAnsi="Times New Roman CYR" w:cs="Times New Roman CYR"/>
          <w:sz w:val="24"/>
          <w:szCs w:val="24"/>
        </w:rPr>
        <w:t xml:space="preserve">. куб. метров. </w:t>
      </w:r>
    </w:p>
    <w:p w:rsidR="009D4434" w:rsidRPr="0055597A" w:rsidRDefault="009D4434" w:rsidP="009D4434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>Мероприятия, предусмотренные поквартальным графиком проекта, выполнены. Инвестором ведется работа по формированию документов на завершение реализации Проекта.</w:t>
      </w:r>
    </w:p>
    <w:p w:rsidR="009D4434" w:rsidRPr="0055597A" w:rsidRDefault="009D4434" w:rsidP="009D443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>«Модернизация лесоперерабатывающего производства в п. Чемдальск Красноярского края» ООО «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>Красноярский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</w:rPr>
        <w:t xml:space="preserve"> центр строительства». На основании приказа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Минпромторга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 России от 09.12.2022 № 5151 прое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>кт вкл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</w:rPr>
        <w:t xml:space="preserve">ючен в перечень приоритетных инвестиционных проектов в области освоения лесов.  </w:t>
      </w:r>
    </w:p>
    <w:p w:rsidR="009D4434" w:rsidRPr="0055597A" w:rsidRDefault="009D4434" w:rsidP="009D44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Объем инвестиций по проекту составляет 2 004,8 млн. рублей с объемом выпускаемой продукции: пиломатериал транспортной влажности – 102,4 тыс. куб. м. Сумма вложенных с начала реализации проекта составила 1 364,58 млн. рублей. Количество созданных рабочих мест – 18. </w:t>
      </w:r>
    </w:p>
    <w:p w:rsidR="009D4434" w:rsidRPr="0055597A" w:rsidRDefault="009D4434" w:rsidP="009D44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 xml:space="preserve">В рамках реализации проекта проведены следующие мероприятия: разработана проектная документация по проекту «Водогрейная котельная», завершено строительство здания водогрейной котельной, строительство фундаментов сушильных камер; завершено строительство 32 сушильных камер (по плану 50 ед.), камеры смонтированы и введены в эксплуатацию; поставлен, смонтирован и введен в эксплуатацию конвейер Сито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Bruks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 (для транспорта и разделения отходов).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</w:rPr>
        <w:t xml:space="preserve"> Поставлен и смонтирован водогрейный котел; приобретен транспорт (автомобиль -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</w:rPr>
        <w:t>сортиментовоз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</w:rPr>
        <w:t xml:space="preserve">, специализированный 68638 -3 ед., лесопогрузчик манипуляторного типа 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</w:rPr>
        <w:t>Т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</w:rPr>
        <w:t>RU TK 195975 -1 ед.).</w:t>
      </w:r>
    </w:p>
    <w:p w:rsidR="009D4434" w:rsidRPr="0055597A" w:rsidRDefault="009D4434" w:rsidP="009D44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>Объем производства пиломатериала транспортной влажности составил 215,1 тыс. куб. метров.</w:t>
      </w:r>
    </w:p>
    <w:p w:rsidR="009D4434" w:rsidRPr="0055597A" w:rsidRDefault="009D4434" w:rsidP="009D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5597A">
        <w:rPr>
          <w:rFonts w:ascii="Times New Roman CYR" w:hAnsi="Times New Roman CYR" w:cs="Times New Roman CYR"/>
          <w:sz w:val="24"/>
          <w:szCs w:val="24"/>
        </w:rPr>
        <w:t xml:space="preserve">Инвестиции в основной капитал за счет бюджетных средств в 2024 году составили 242 719,0 тыс. руб., что ниже значения показателя за предыдущий период на 62,8 %. </w:t>
      </w:r>
    </w:p>
    <w:p w:rsidR="009D4434" w:rsidRPr="0055597A" w:rsidRDefault="009D4434" w:rsidP="009D44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gram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 xml:space="preserve">За отчетный период за счет средств местного бюджета в учреждениях социальной инфраструктуры Эвенкийского района проведены следующие работы: текущий ремонт сельского дома культуры п.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Тутончаны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, МБОУ «Туринская средняя школа», МБОУ «Байкитская средняя школа» ЭМР, филиала МБОУ ВСШ ЭМР «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Стрелковская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 средняя школа-детский сад», филиала МКОУ «Туринская средняя школа-интернат им. А.Н. Немтушкина»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Кислоканская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 основная школа-детский сад, МКОУ «Суриндинская основная школа» ЭМР;</w:t>
      </w:r>
      <w:proofErr w:type="gramEnd"/>
      <w:r w:rsidRPr="0055597A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 xml:space="preserve"> </w:t>
      </w:r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системы отопления  МБУ ДО «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Спортивная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 школа» филиал с.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Ванавара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.</w:t>
      </w:r>
    </w:p>
    <w:p w:rsidR="009D4434" w:rsidRPr="0055597A" w:rsidRDefault="009D4434" w:rsidP="009D44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gram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Выполнены работы по обследованию здания МБДОУ «Детский сад №4 «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Осиктакан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» п. Тура, фундамента и крыши здания МБДОУ «Детский сад №1 «Одуванчик» п. Тура; по устройству ограждения территории ЦРО, наружного водоотведения талых поверхностных вод от здания, устройству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отмостки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 и септика МКОУ «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Тутончанская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 средняя школа-детский сад»; выполнено детальное (инструментальное) обследование технического состояния здания филиала МБОУ ВСШ ЭМР «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Стрелковская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 средняя школа-детский сад». </w:t>
      </w:r>
      <w:proofErr w:type="gramEnd"/>
    </w:p>
    <w:p w:rsidR="009D4434" w:rsidRPr="0055597A" w:rsidRDefault="009D4434" w:rsidP="009D44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Разработана проектно-сметная документация на устранение аварийных ситуаций в зданиях интерната МБОУ «Байкитская средняя школа» и филиала МБОУ ВСШ ЭМР «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Стрелковская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 средняя школа-детский сад», на текущий ремонт системы отопления в здании МБУК «Эвенкийская централизованная библиотечная система», на капитальный ремонт здания дома культуры в    с. Байкит.</w:t>
      </w:r>
    </w:p>
    <w:p w:rsidR="009D4434" w:rsidRPr="0055597A" w:rsidRDefault="009D4434" w:rsidP="009D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Выполнены работы (1 этап) по приобретению и монтажу некапитального здания дома культуры на 50 мест сборно-разборного типа для нужд МБУК «Байкитская клубная система» в п.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Суломай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. </w:t>
      </w:r>
    </w:p>
    <w:p w:rsidR="009D4434" w:rsidRPr="0055597A" w:rsidRDefault="009D4434" w:rsidP="009D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gram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За счет краевого бюджета согласно Закона Красноярского края от 07.12.2023 </w:t>
      </w:r>
      <w:r w:rsidR="00833986" w:rsidRPr="00833986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</w:t>
      </w:r>
      <w:r w:rsidR="00833986" w:rsidRPr="009A3E29"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N 6-2296 «О краевом бюджете на 2024 год и плановый период 2025 - 2026 годов» на объект строительства средней школы на 450 учащихся в с.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Ванавара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 направлена сумма 115 996,1 тыс. руб. Актом приема-передачи от 03.12.2024 имущество, находящегося в государственной собственности Красноярского края и приобретенное в процессе реализации государственной программы передано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 в муниципальную собственность 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Эвенкийского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 района.</w:t>
      </w:r>
      <w:r w:rsidRPr="0055597A">
        <w:rPr>
          <w:rFonts w:ascii="Calibri" w:hAnsi="Calibri" w:cs="Calibri"/>
          <w:sz w:val="24"/>
          <w:szCs w:val="24"/>
          <w:u w:color="FF0000"/>
        </w:rPr>
        <w:t xml:space="preserve"> </w:t>
      </w:r>
    </w:p>
    <w:p w:rsidR="009D4434" w:rsidRPr="0055597A" w:rsidRDefault="009D4434" w:rsidP="009D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На период 2025-2027 годы за счет бюджетных сре</w:t>
      </w:r>
      <w:proofErr w:type="gram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дств пр</w:t>
      </w:r>
      <w:proofErr w:type="gram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одолжатся ремонтные работы в образовательных учреждениях, в учреждениях культуры и спорта района. Продолжатся работы (2 этап) по монтажу некапитального здания дома культуры на 50 мест сборно-разборного типа для нужд МБУК «Байкитская клубная система» в </w:t>
      </w:r>
      <w:r w:rsidR="00833986" w:rsidRPr="00833986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        </w:t>
      </w:r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п. </w:t>
      </w:r>
      <w:proofErr w:type="spellStart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Суломай</w:t>
      </w:r>
      <w:proofErr w:type="spellEnd"/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 xml:space="preserve">. </w:t>
      </w:r>
    </w:p>
    <w:p w:rsidR="009D4434" w:rsidRPr="0055597A" w:rsidRDefault="009D4434" w:rsidP="009D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5597A">
        <w:rPr>
          <w:rFonts w:ascii="Times New Roman CYR" w:hAnsi="Times New Roman CYR" w:cs="Times New Roman CYR"/>
          <w:sz w:val="24"/>
          <w:szCs w:val="24"/>
          <w:u w:color="FF0000"/>
        </w:rPr>
        <w:t>В среднесрочной перспективе на 2025-2027 годы ожидается сохранение показателей (ежегодные темпы роста в сопоставимых ценах в плановом периоде составят 100,0%). В 2025 году в экономику по оценкам будет инвестировано  62 307,18 млн. руб., в 2026 году – 65 671,77 млн. руб., в 2027 году – 68 626,00 млн. рублей.</w:t>
      </w:r>
    </w:p>
    <w:p w:rsidR="009D4434" w:rsidRDefault="009D4434" w:rsidP="009D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2850"/>
        <w:gridCol w:w="1276"/>
        <w:gridCol w:w="1276"/>
        <w:gridCol w:w="1417"/>
        <w:gridCol w:w="1276"/>
        <w:gridCol w:w="1276"/>
      </w:tblGrid>
      <w:tr w:rsidR="009D4434" w:rsidTr="009D4434">
        <w:trPr>
          <w:trHeight w:val="289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Значения показателя</w:t>
            </w:r>
          </w:p>
        </w:tc>
      </w:tr>
      <w:tr w:rsidR="009D4434" w:rsidTr="009D4434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2023 </w:t>
            </w:r>
          </w:p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2024</w:t>
            </w:r>
          </w:p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2025 </w:t>
            </w:r>
          </w:p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2026 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2027 прогноз</w:t>
            </w:r>
          </w:p>
        </w:tc>
      </w:tr>
      <w:tr w:rsidR="009D4434" w:rsidTr="009D4434">
        <w:trPr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56784147,00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57691835,0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62307181,80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65671769,62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68626999,25</w:t>
            </w:r>
          </w:p>
        </w:tc>
      </w:tr>
      <w:tr w:rsidR="009D4434" w:rsidTr="00B53B8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t>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t>101,60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t>108,00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t>105,40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t>104,50</w:t>
            </w:r>
          </w:p>
        </w:tc>
      </w:tr>
      <w:tr w:rsidR="009D4434" w:rsidTr="00B53B8E">
        <w:trPr>
          <w:trHeight w:val="4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lastRenderedPageBreak/>
              <w:t>1.2. Индекс-дефлятор,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t>112,40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t>109,50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105,40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104,50</w:t>
            </w:r>
          </w:p>
        </w:tc>
      </w:tr>
      <w:tr w:rsidR="009D4434" w:rsidTr="00B53B8E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t>88,35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t>92,78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u w:color="FF0000"/>
              </w:rPr>
              <w:t>100,00</w:t>
            </w:r>
          </w:p>
        </w:tc>
      </w:tr>
      <w:tr w:rsidR="009D4434" w:rsidTr="009D443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652823,00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242719,00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262136,52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276291,89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288725,03</w:t>
            </w:r>
          </w:p>
        </w:tc>
      </w:tr>
      <w:tr w:rsidR="009D4434" w:rsidTr="009D443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56131324,00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57449116,00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62045045,28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65395477,73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68338274,22</w:t>
            </w:r>
          </w:p>
        </w:tc>
      </w:tr>
      <w:tr w:rsidR="009D4434" w:rsidTr="009D4434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4. Среднегодовая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13 285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13 193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13 069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12 948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12 854</w:t>
            </w:r>
          </w:p>
        </w:tc>
      </w:tr>
      <w:tr w:rsidR="009D4434" w:rsidTr="009D4434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Pr="009A3E29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  <w:u w:color="FF0000"/>
              </w:rPr>
            </w:pPr>
            <w:r w:rsidRPr="009A3E29">
              <w:rPr>
                <w:rFonts w:ascii="Times New Roman CYR" w:hAnsi="Times New Roman CYR" w:cs="Times New Roman CYR"/>
                <w:bCs/>
                <w:sz w:val="20"/>
                <w:szCs w:val="20"/>
                <w:u w:color="FF0000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Pr="009A3E29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u w:color="FF0000"/>
              </w:rPr>
            </w:pPr>
            <w:r w:rsidRPr="009A3E29">
              <w:rPr>
                <w:rFonts w:ascii="Times New Roman CYR" w:hAnsi="Times New Roman CYR" w:cs="Times New Roman CYR"/>
                <w:bCs/>
                <w:sz w:val="20"/>
                <w:szCs w:val="20"/>
                <w:u w:color="FF0000"/>
              </w:rPr>
              <w:t>4 225 165,53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Pr="009A3E29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u w:color="FF0000"/>
              </w:rPr>
            </w:pPr>
            <w:r w:rsidRPr="009A3E29">
              <w:rPr>
                <w:rFonts w:ascii="Times New Roman CYR" w:hAnsi="Times New Roman CYR" w:cs="Times New Roman CYR"/>
                <w:bCs/>
                <w:sz w:val="20"/>
                <w:szCs w:val="20"/>
                <w:u w:color="FF0000"/>
              </w:rPr>
              <w:t>4 354 514,97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Pr="009A3E29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u w:color="FF0000"/>
              </w:rPr>
            </w:pPr>
            <w:r w:rsidRPr="009A3E29">
              <w:rPr>
                <w:rFonts w:ascii="Times New Roman CYR" w:hAnsi="Times New Roman CYR" w:cs="Times New Roman CYR"/>
                <w:bCs/>
                <w:sz w:val="20"/>
                <w:szCs w:val="20"/>
                <w:u w:color="FF0000"/>
              </w:rPr>
              <w:t>4 747 497,53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Pr="009A3E29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u w:color="FF0000"/>
              </w:rPr>
            </w:pPr>
            <w:r w:rsidRPr="009A3E29">
              <w:rPr>
                <w:rFonts w:ascii="Times New Roman CYR" w:hAnsi="Times New Roman CYR" w:cs="Times New Roman CYR"/>
                <w:bCs/>
                <w:sz w:val="20"/>
                <w:szCs w:val="20"/>
                <w:u w:color="FF0000"/>
              </w:rPr>
              <w:t>5 050 623,86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34" w:rsidRPr="009A3E29" w:rsidRDefault="009D4434" w:rsidP="009D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u w:color="FF0000"/>
              </w:rPr>
            </w:pPr>
            <w:r w:rsidRPr="009A3E29">
              <w:rPr>
                <w:rFonts w:ascii="Times New Roman CYR" w:hAnsi="Times New Roman CYR" w:cs="Times New Roman CYR"/>
                <w:bCs/>
                <w:sz w:val="20"/>
                <w:szCs w:val="20"/>
                <w:u w:color="FF0000"/>
              </w:rPr>
              <w:t>5 316 498,69</w:t>
            </w:r>
          </w:p>
        </w:tc>
      </w:tr>
    </w:tbl>
    <w:p w:rsidR="0068059C" w:rsidRDefault="0068059C" w:rsidP="00625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</w:p>
    <w:p w:rsidR="00290B68" w:rsidRPr="00DF2602" w:rsidRDefault="00290B68" w:rsidP="00625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DF2602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290B68" w:rsidRPr="00DF2602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D4434" w:rsidRPr="00A44AFE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left="20"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44AFE">
        <w:rPr>
          <w:rFonts w:ascii="Times New Roman CYR" w:hAnsi="Times New Roman CYR" w:cs="Times New Roman CYR"/>
          <w:sz w:val="24"/>
          <w:szCs w:val="24"/>
          <w:u w:color="FF0000"/>
        </w:rPr>
        <w:t>Доля площади земельных участков, являющихся объектами налогообложения земельным налогом, в общей площади территории Эвенкийского муниципального района составляет 0,001306346 %.</w:t>
      </w:r>
    </w:p>
    <w:p w:rsidR="009D4434" w:rsidRPr="00A44AFE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left="20"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44AFE">
        <w:rPr>
          <w:rFonts w:ascii="Times New Roman CYR" w:hAnsi="Times New Roman CYR" w:cs="Times New Roman CYR"/>
          <w:sz w:val="24"/>
          <w:szCs w:val="24"/>
          <w:u w:color="FF0000"/>
        </w:rPr>
        <w:t xml:space="preserve">Общая площадь Эвенкийского муниципального района, </w:t>
      </w:r>
      <w:proofErr w:type="gramStart"/>
      <w:r w:rsidRPr="00A44AFE">
        <w:rPr>
          <w:rFonts w:ascii="Times New Roman CYR" w:hAnsi="Times New Roman CYR" w:cs="Times New Roman CYR"/>
          <w:sz w:val="24"/>
          <w:szCs w:val="24"/>
          <w:u w:color="FF0000"/>
        </w:rPr>
        <w:t>согласно сведения</w:t>
      </w:r>
      <w:proofErr w:type="gramEnd"/>
      <w:r w:rsidRPr="00A44AFE">
        <w:rPr>
          <w:rFonts w:ascii="Times New Roman CYR" w:hAnsi="Times New Roman CYR" w:cs="Times New Roman CYR"/>
          <w:sz w:val="24"/>
          <w:szCs w:val="24"/>
          <w:u w:color="FF0000"/>
        </w:rPr>
        <w:t xml:space="preserve"> Единого государственного реестра составляет 76319727 га, площадь земельных участков, являющимися объектами налогообложения составляет 997 га.</w:t>
      </w:r>
    </w:p>
    <w:p w:rsidR="00290B68" w:rsidRPr="00DF2602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DF2602" w:rsidRDefault="00290B68" w:rsidP="00DF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DF2602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5. Доля прибыльных сельскохозяйственных </w:t>
      </w:r>
      <w:proofErr w:type="gramStart"/>
      <w:r w:rsidRPr="00DF2602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организаций</w:t>
      </w:r>
      <w:proofErr w:type="gramEnd"/>
      <w:r w:rsidRPr="00DF2602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в общем их числе</w:t>
      </w:r>
    </w:p>
    <w:p w:rsidR="00290B68" w:rsidRPr="00DF2602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D4434" w:rsidRPr="00A44AFE" w:rsidRDefault="009D4434" w:rsidP="009D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44AFE">
        <w:rPr>
          <w:rFonts w:ascii="Times New Roman CYR" w:hAnsi="Times New Roman CYR" w:cs="Times New Roman CYR"/>
          <w:sz w:val="24"/>
          <w:szCs w:val="24"/>
          <w:u w:color="FF0000"/>
        </w:rPr>
        <w:t>На территории района единственным предприятием, осуществляющим деятельность «сельское хозяйство» является муниципальное предприятие оленеводческо-племенное хозяйство «Суриндинский», основной деятельностью которого является разведение домашних северных оленей эвенкийской породы, а также обеспечение занятостью коренного населения, ведущего традиционный образ жизни.</w:t>
      </w:r>
    </w:p>
    <w:p w:rsidR="009D4434" w:rsidRPr="00A44AFE" w:rsidRDefault="00B36ED1" w:rsidP="009D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МП ЭМР ОПХ «</w:t>
      </w:r>
      <w:r w:rsidR="009D4434" w:rsidRPr="00A44AFE">
        <w:rPr>
          <w:rFonts w:ascii="Times New Roman CYR" w:hAnsi="Times New Roman CYR" w:cs="Times New Roman CYR"/>
          <w:sz w:val="24"/>
          <w:szCs w:val="24"/>
          <w:u w:color="FF0000"/>
        </w:rPr>
        <w:t>Суриндинский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»</w:t>
      </w:r>
      <w:r w:rsidR="009D4434" w:rsidRPr="00A44AFE">
        <w:rPr>
          <w:rFonts w:ascii="Times New Roman CYR" w:hAnsi="Times New Roman CYR" w:cs="Times New Roman CYR"/>
          <w:sz w:val="24"/>
          <w:szCs w:val="24"/>
          <w:u w:color="FF0000"/>
        </w:rPr>
        <w:t xml:space="preserve"> осуществляет свою деятельность за счет средств из бюджетов разных уровней, в 2024 году было получено субсидий в сумме 49 160,0 тыс. руб. Приплод домашних северных оленей за год </w:t>
      </w:r>
      <w:proofErr w:type="gramStart"/>
      <w:r w:rsidR="009D4434" w:rsidRPr="00A44AFE">
        <w:rPr>
          <w:rFonts w:ascii="Times New Roman CYR" w:hAnsi="Times New Roman CYR" w:cs="Times New Roman CYR"/>
          <w:sz w:val="24"/>
          <w:szCs w:val="24"/>
          <w:u w:color="FF0000"/>
        </w:rPr>
        <w:t>составил 261 голову и по состоянию на 01.01.2025 предприятие насчитывает</w:t>
      </w:r>
      <w:proofErr w:type="gramEnd"/>
      <w:r w:rsidR="009D4434" w:rsidRPr="00A44AFE">
        <w:rPr>
          <w:rFonts w:ascii="Times New Roman CYR" w:hAnsi="Times New Roman CYR" w:cs="Times New Roman CYR"/>
          <w:sz w:val="24"/>
          <w:szCs w:val="24"/>
          <w:u w:color="FF0000"/>
        </w:rPr>
        <w:t xml:space="preserve"> 945 голов домашнего северного оленя. </w:t>
      </w:r>
    </w:p>
    <w:p w:rsidR="009D4434" w:rsidRPr="00A44AFE" w:rsidRDefault="009D4434" w:rsidP="009D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44AFE">
        <w:rPr>
          <w:rFonts w:ascii="Times New Roman CYR" w:hAnsi="Times New Roman CYR" w:cs="Times New Roman CYR"/>
          <w:sz w:val="24"/>
          <w:szCs w:val="24"/>
          <w:u w:color="FF0000"/>
        </w:rPr>
        <w:t xml:space="preserve">Прибыль предприятия до налогообложения в 2024 году с учетом субсидий составила 680 тыс. рублей. </w:t>
      </w:r>
    </w:p>
    <w:p w:rsidR="009D4434" w:rsidRPr="00A44AFE" w:rsidRDefault="009D4434" w:rsidP="009D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5"/>
          <w:sz w:val="24"/>
          <w:szCs w:val="24"/>
          <w:u w:color="FF0000"/>
        </w:rPr>
      </w:pPr>
      <w:r w:rsidRPr="00A44AFE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За отчетный период показатель «Доля прибыльных сельскохозяйственных </w:t>
      </w:r>
      <w:proofErr w:type="gramStart"/>
      <w:r w:rsidRPr="00A44AFE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организаций</w:t>
      </w:r>
      <w:proofErr w:type="gramEnd"/>
      <w:r w:rsidRPr="00A44AFE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 в общем их числе» составил 100%.</w:t>
      </w:r>
    </w:p>
    <w:p w:rsidR="009D4434" w:rsidRPr="00A44AFE" w:rsidRDefault="009D4434" w:rsidP="009D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5"/>
          <w:sz w:val="24"/>
          <w:szCs w:val="24"/>
          <w:u w:color="FF0000"/>
        </w:rPr>
      </w:pPr>
      <w:r w:rsidRPr="00A44AFE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В оценочном и прогнозном </w:t>
      </w:r>
      <w:proofErr w:type="gramStart"/>
      <w:r w:rsidRPr="00A44AFE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периоде</w:t>
      </w:r>
      <w:proofErr w:type="gramEnd"/>
      <w:r w:rsidRPr="00A44AFE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 доля прибыльных сельскохозяйственных организаций ожидается на уровне 2024 года – 100%.</w:t>
      </w:r>
    </w:p>
    <w:p w:rsidR="00290B68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E44E9" w:rsidRDefault="00CE44E9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E44E9" w:rsidRDefault="00CE44E9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DF2602" w:rsidRDefault="00290B68" w:rsidP="00DF2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DF2602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lastRenderedPageBreak/>
        <w:t xml:space="preserve">6. Доля протяженности автомобильных дорог общего пользования местного значения, не </w:t>
      </w:r>
      <w:proofErr w:type="gramStart"/>
      <w:r w:rsidRPr="00DF2602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отвечающих</w:t>
      </w:r>
      <w:proofErr w:type="gramEnd"/>
      <w:r w:rsidRPr="00DF2602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нормативным требованиям, в общей протяженности автомобильных дорог общего пользования местного значения</w:t>
      </w:r>
    </w:p>
    <w:p w:rsidR="00CE44E9" w:rsidRDefault="00CE44E9" w:rsidP="009D44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D4434" w:rsidRDefault="009D4434" w:rsidP="00CE44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В 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соответствии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с отчетом по форме федерального статистического наблюдения </w:t>
      </w:r>
      <w:r w:rsidR="00CE44E9">
        <w:rPr>
          <w:rFonts w:ascii="Times New Roman CYR" w:hAnsi="Times New Roman CYR" w:cs="Times New Roman CYR"/>
          <w:sz w:val="24"/>
          <w:szCs w:val="24"/>
          <w:u w:color="FF0000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№ 3-ДГ (мо) «Сведения об автомобильных дорогах общего пользования местного значения и искусственных сооружениях на них» за 2024 год по Эвенкийскому муниципальному району:</w:t>
      </w:r>
    </w:p>
    <w:p w:rsidR="009D4434" w:rsidRDefault="009D4434" w:rsidP="00CE44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общая протяженность автомобильных дорог местного значения составила 180,2 км;</w:t>
      </w:r>
    </w:p>
    <w:p w:rsidR="009D4434" w:rsidRDefault="009D4434" w:rsidP="00CE44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протяженность автомобильных дорог местного значения, не отвечающих нормативным требованиям составила 115,3 км. </w:t>
      </w:r>
    </w:p>
    <w:p w:rsidR="009D4434" w:rsidRDefault="009D4434" w:rsidP="00CE44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Таким образом, доля протяженности автомобильных дорог общего пользования местного значения, не 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отвечающих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нормативным требованиям, в общей протяженности автомобильных дорог общего пользования местного значения по муниципальному району за 2024 год составила 63,98%. </w:t>
      </w:r>
    </w:p>
    <w:p w:rsidR="009D4434" w:rsidRDefault="009D4434" w:rsidP="00CE4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Ситуация с ремонтом существующей улично-дорожной сети поселений остается напряженной, это связано с тем, что практически все улицы поселений, кроме районного центра, имеют не капитальный, а переходный тип покрытия, износ которого происходит быстрее, чем количество отремонтированных километров. Остро стоит вопрос о практически полном отсутствии на территории района официально отведенных карьеров дорожно-строительных инертных материалов для строительства и ремонта дорог. </w:t>
      </w:r>
    </w:p>
    <w:p w:rsidR="009D4434" w:rsidRDefault="009D4434" w:rsidP="00CE4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Улучшение показателя потребует значительных средств направленных на ремонт, реконструкцию и капитальный ремонт улично-дорожной сети поселений. Единственным решением может быть привлечение средств из краевого бюджета и комплексное мероприятие по изменению типов покрытий дорог малых и больших поселений района с переходного на 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усовершенствованный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(асфальтобетонный).</w:t>
      </w:r>
    </w:p>
    <w:p w:rsidR="009D4434" w:rsidRDefault="009D4434" w:rsidP="00CE4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ab/>
        <w:t xml:space="preserve">На период 2025 года и до 2027 года не ожидается снижение доли протяженности автомобильных дорог общего пользования муниципального района, не отвечающих нормативным требованиям, несмотря на это планируется ежегодное проведение на улично-дорожной сети сельских поселений района ремонта участков автомобильных дорог. В 2025 году запланированы работы на 19 объектах в п. Тура (4 объекта), с. Байкит (2 объекта), с.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Ванавара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(13 объектов).</w:t>
      </w:r>
    </w:p>
    <w:p w:rsidR="00401277" w:rsidRPr="00DF2602" w:rsidRDefault="00401277" w:rsidP="00054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CF3A68" w:rsidRDefault="00290B68" w:rsidP="00CF3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F3A6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:rsidR="00290B68" w:rsidRPr="00CF3A68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D4434" w:rsidRPr="00257E96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 w:rsidRPr="00257E96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 - п. Тура, в общей численности населения муниципального района составила в 2024 году, как и в предыдущие годы 100%. На период до 2027 года данный показатель сохранится на уровне 100%. </w:t>
      </w:r>
    </w:p>
    <w:p w:rsidR="009D4434" w:rsidRPr="00257E96" w:rsidRDefault="009D4434" w:rsidP="009D443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5"/>
          <w:sz w:val="24"/>
          <w:szCs w:val="24"/>
          <w:u w:color="FF0000"/>
        </w:rPr>
      </w:pPr>
      <w:r w:rsidRPr="00257E96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Регулярное автобусное и железнодорожное сообщение между населенными пунктами муниципального района и административным центром (п. Тура) отсутствует, ввиду отсутствия автомобильных дорог круглогодичного действия и </w:t>
      </w:r>
      <w:proofErr w:type="gramStart"/>
      <w:r w:rsidRPr="00257E96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железных</w:t>
      </w:r>
      <w:proofErr w:type="gramEnd"/>
      <w:r w:rsidRPr="00257E96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 дорог, связывающих населенные пункты с административным центром. Единственным круглогодичным транспортом для осуществления пассажирских перевозок является авиационный транспорт.</w:t>
      </w:r>
    </w:p>
    <w:p w:rsidR="009D4434" w:rsidRPr="00257E96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257E96">
        <w:rPr>
          <w:rFonts w:ascii="Times New Roman CYR" w:hAnsi="Times New Roman CYR" w:cs="Times New Roman CYR"/>
          <w:sz w:val="24"/>
          <w:szCs w:val="24"/>
          <w:u w:color="FF0000"/>
        </w:rPr>
        <w:t xml:space="preserve">За отчетный период к числу населенных пунктов, не имеющих регулярного автобусного и (или) железнодорожного сообщения с административным центром </w:t>
      </w:r>
      <w:r w:rsidRPr="00257E96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 xml:space="preserve">муниципального района - п. Тура относятся: </w:t>
      </w:r>
    </w:p>
    <w:p w:rsidR="009D4434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4252"/>
        <w:gridCol w:w="4253"/>
      </w:tblGrid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Населенный пункт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Среднегодовая численность населения (чел.)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сельское поселение поселок Бурный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195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сельское поселение поселок Ессей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751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сельское поселение поселок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Кислокан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127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сельское поселение поселок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Кузьмовка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200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сельское поселение поселок Куюмба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135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сельское поселение поселок Муторай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63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сельское поселение поселок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Нидым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139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сельское поселение поселок Оскоба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11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сельское поселение поселок Ошарово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78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сельское поселение поселок Полигус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135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сельское поселение поселок Стрелка-Чуня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128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сельское поселение поселок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Суломай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186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сельское поселение поселок Суринда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331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сельское поселение поселок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Тутончаны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197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сельское поселение поселок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Учами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80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сельское поселение поселок Чемдальск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25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сельское поселение поселок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Чиринда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226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сельское поселение поселок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Эконда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332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сельское поселение поселок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Юкта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85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сельское поселение поселок Байкит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2862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сельское поселение поселок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Ванавара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2571</w:t>
            </w:r>
          </w:p>
        </w:tc>
      </w:tr>
      <w:tr w:rsidR="009D4434" w:rsidTr="009B062B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сельское поселение поселок Мирюга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434" w:rsidRDefault="009D4434" w:rsidP="009D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35</w:t>
            </w:r>
          </w:p>
        </w:tc>
      </w:tr>
    </w:tbl>
    <w:p w:rsidR="00401277" w:rsidRDefault="00401277" w:rsidP="00F31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</w:p>
    <w:p w:rsidR="00290B68" w:rsidRPr="004D730C" w:rsidRDefault="00290B68" w:rsidP="00F31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4D730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8. Среднемесячная номинальная начисленная заработная плата работников:</w:t>
      </w:r>
    </w:p>
    <w:p w:rsidR="00290B68" w:rsidRPr="004D730C" w:rsidRDefault="00290B68" w:rsidP="004D7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4D730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8.1. крупных и средних предприятий и некоммерческих организаций;</w:t>
      </w:r>
    </w:p>
    <w:p w:rsidR="00290B68" w:rsidRPr="004D730C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D4434" w:rsidRPr="008B56D1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 xml:space="preserve">Изменению уровня жизни населения способствует рост заработной платы. В 2024 году была сохранена положительная динамика роста доходов населения. </w:t>
      </w:r>
    </w:p>
    <w:p w:rsidR="009D4434" w:rsidRPr="008B56D1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Среднемесячная номинальная начисленная заработная плата работников крупных и средних предприятий и некоммерческих организаций муниципального района в 2024 году составила 133 246 рублей</w:t>
      </w:r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, что выше уровня прошлого года на 19,1 % (</w:t>
      </w: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 xml:space="preserve">111 886,40 </w:t>
      </w:r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руб.)</w:t>
      </w: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 xml:space="preserve">. На рост показателя повлияло увеличение заработной платы работников по таким видам деятельности, как: «Обеспечение электрической энергией, газом и паром; кондиционирование воздуха» - на 23,4%, «Строительство» - на 22,1%, «Деятельность в области информации и связи» - на 21,6%, «Добыча полезных ископаемых» - на 21,3%, «Деятельность административная и сопутствующие дополнительные услуги» - на 20,0%, «Деятельность в области культуры, спорта, организации досуга и развлечений» - </w:t>
      </w:r>
      <w:proofErr w:type="gramStart"/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на</w:t>
      </w:r>
      <w:proofErr w:type="gramEnd"/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 xml:space="preserve"> 19,0%.  </w:t>
      </w:r>
    </w:p>
    <w:p w:rsidR="009D4434" w:rsidRPr="008B56D1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Данные за 2024 год предоставлены Управлением Федеральной службы государственной статистики по Красноярскому краю, Республике Хакасия и Республике Тыва (</w:t>
      </w:r>
      <w:proofErr w:type="spellStart"/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Красноярскстат</w:t>
      </w:r>
      <w:proofErr w:type="spellEnd"/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 xml:space="preserve">). </w:t>
      </w:r>
    </w:p>
    <w:p w:rsidR="009D4434" w:rsidRPr="008B56D1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 xml:space="preserve">В </w:t>
      </w:r>
      <w:proofErr w:type="gramStart"/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соответствии</w:t>
      </w:r>
      <w:proofErr w:type="gramEnd"/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 xml:space="preserve"> с федеральным законодательством с 1 января 2024 года на 18,47 % увеличен минимальный размер оплаты труда, применяемый для регулирования оплаты труда.</w:t>
      </w:r>
    </w:p>
    <w:p w:rsidR="009D4434" w:rsidRPr="008B56D1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Прогнозная динамика среднемесячной номинальной начисленной заработной платы работников крупных и средних предприятий и некоммерческих организаций на период 2025-2027 годов составлена с учетом следующего темпа роста – 115,0%, 110,9% и 108,8% по годам соответственно.</w:t>
      </w:r>
    </w:p>
    <w:p w:rsidR="009D4434" w:rsidRPr="008B56D1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5"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К 2027 году значение показателя составит 184 889,59 рублей.</w:t>
      </w:r>
    </w:p>
    <w:p w:rsidR="00290B68" w:rsidRPr="008B56D1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lastRenderedPageBreak/>
        <w:t>8.2. муниципальных дошкольных образовательных учреждений;</w:t>
      </w:r>
    </w:p>
    <w:p w:rsidR="00656790" w:rsidRDefault="00656790" w:rsidP="009D44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D4434" w:rsidRPr="008B56D1" w:rsidRDefault="009D4434" w:rsidP="00656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 xml:space="preserve">Размер среднемесячной заработной платы в области дошкольного образования в 2024 году </w:t>
      </w:r>
      <w:proofErr w:type="gramStart"/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увеличился по сравнению с прошлым годом на 9,86% и составил</w:t>
      </w:r>
      <w:proofErr w:type="gramEnd"/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 xml:space="preserve"> 101 033,50 рубля. Рост показателя обусловлен </w:t>
      </w:r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увеличением минимального размера оплаты труда работникам в сфере образования с 1 января 2024 года до размера 44 257 рублей южнее параллели </w:t>
      </w: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63</w:t>
      </w:r>
      <w:r w:rsidRPr="008B56D1">
        <w:rPr>
          <w:rFonts w:ascii="Times New Roman CYR" w:hAnsi="Times New Roman CYR" w:cs="Times New Roman CYR"/>
          <w:noProof/>
          <w:sz w:val="24"/>
          <w:szCs w:val="24"/>
          <w:u w:color="FF0000"/>
        </w:rPr>
        <w:drawing>
          <wp:inline distT="0" distB="0" distL="0" distR="0">
            <wp:extent cx="71755" cy="119380"/>
            <wp:effectExtent l="19050" t="0" r="444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северной широты</w:t>
      </w:r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 и 46 181 рубль </w:t>
      </w: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севернее параллели 63</w:t>
      </w:r>
      <w:r w:rsidRPr="008B56D1">
        <w:rPr>
          <w:rFonts w:ascii="Times New Roman CYR" w:hAnsi="Times New Roman CYR" w:cs="Times New Roman CYR"/>
          <w:noProof/>
          <w:sz w:val="24"/>
          <w:szCs w:val="24"/>
          <w:u w:color="FF0000"/>
        </w:rPr>
        <w:drawing>
          <wp:inline distT="0" distB="0" distL="0" distR="0">
            <wp:extent cx="71755" cy="119380"/>
            <wp:effectExtent l="19050" t="0" r="444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северной широты</w:t>
      </w:r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. В </w:t>
      </w:r>
      <w:proofErr w:type="gramStart"/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выплатах</w:t>
      </w:r>
      <w:proofErr w:type="gramEnd"/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 стимулирующего характера внедрена специальная краевая выплата в размере 3 000 рублей. Увеличен индикативный уровень по педагогическим работникам дошкольных учреждений, доведенный министерством образования Красноярского края, который составил в 2024 году 114 154,20 рубля.</w:t>
      </w:r>
    </w:p>
    <w:p w:rsidR="009D4434" w:rsidRPr="008B56D1" w:rsidRDefault="009D4434" w:rsidP="00656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Тенденция роста заработной платы в прогнозном периоде обусловлена в большей степени выплатами стимулирующего характера и совмещением должностей.</w:t>
      </w:r>
    </w:p>
    <w:p w:rsidR="00290B68" w:rsidRPr="00656790" w:rsidRDefault="00290B68" w:rsidP="006567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 </w:t>
      </w:r>
    </w:p>
    <w:p w:rsidR="00290B68" w:rsidRPr="008B56D1" w:rsidRDefault="00290B68" w:rsidP="00CC5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8.3. муниципальных общеобразовательных учреждений;</w:t>
      </w:r>
    </w:p>
    <w:p w:rsidR="00290B68" w:rsidRPr="008B56D1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D4434" w:rsidRPr="008B56D1" w:rsidRDefault="009D4434" w:rsidP="009D4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 xml:space="preserve">Размер заработной платы в общеобразовательных учреждениях в 2024 году увеличился, по сравнению с 2023 годом на 16,54% и составил 114 109,10 рублей. Рост показателя обусловлен </w:t>
      </w:r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увеличением минимального размера оплаты труда работникам в сфере образования с 1 января 2024 года до размера 44 257 рублей южнее параллели </w:t>
      </w:r>
      <w:r w:rsidR="00656790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 </w:t>
      </w: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63</w:t>
      </w:r>
      <w:r w:rsidRPr="008B56D1">
        <w:rPr>
          <w:rFonts w:ascii="Times New Roman CYR" w:hAnsi="Times New Roman CYR" w:cs="Times New Roman CYR"/>
          <w:noProof/>
          <w:sz w:val="24"/>
          <w:szCs w:val="24"/>
          <w:u w:color="FF0000"/>
        </w:rPr>
        <w:drawing>
          <wp:inline distT="0" distB="0" distL="0" distR="0">
            <wp:extent cx="71755" cy="119380"/>
            <wp:effectExtent l="1905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северной широты</w:t>
      </w:r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 и 46 181 рубль </w:t>
      </w: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севернее параллели 63</w:t>
      </w:r>
      <w:r w:rsidRPr="008B56D1">
        <w:rPr>
          <w:rFonts w:ascii="Times New Roman CYR" w:hAnsi="Times New Roman CYR" w:cs="Times New Roman CYR"/>
          <w:noProof/>
          <w:sz w:val="24"/>
          <w:szCs w:val="24"/>
          <w:u w:color="FF0000"/>
        </w:rPr>
        <w:drawing>
          <wp:inline distT="0" distB="0" distL="0" distR="0">
            <wp:extent cx="71755" cy="119380"/>
            <wp:effectExtent l="1905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северной широты</w:t>
      </w:r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. В </w:t>
      </w:r>
      <w:proofErr w:type="gramStart"/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выплатах</w:t>
      </w:r>
      <w:proofErr w:type="gramEnd"/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 стимулирующего характера внедрена специальная краевая выплата в размере 3 000 рублей. Увеличен индикативный уровень по педагогическим работникам общеобразовательных учреждений, доведенный министерством образования Красноярского края, который составил в 2024 году 143 579,30 рублей.</w:t>
      </w:r>
    </w:p>
    <w:p w:rsidR="00401277" w:rsidRDefault="009D4434" w:rsidP="0005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Тенденция роста заработной платы в прогнозном периоде обусловлена внутренним совмещением предметов, а так же выплатами стимулирующего характера</w:t>
      </w:r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.</w:t>
      </w:r>
    </w:p>
    <w:p w:rsidR="00054C99" w:rsidRPr="00054C99" w:rsidRDefault="00054C99" w:rsidP="00054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8B56D1" w:rsidRDefault="00290B68" w:rsidP="0040127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8.3.1 Среднемесячная номинальная начисленная заработная плата учителей муниципальных общеобразовательных учреждений.</w:t>
      </w:r>
    </w:p>
    <w:p w:rsidR="009D4434" w:rsidRPr="008B56D1" w:rsidRDefault="009D4434" w:rsidP="009D44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 xml:space="preserve">Размер заработной платы учителей в общеобразовательных учреждениях в 2024 году </w:t>
      </w:r>
      <w:proofErr w:type="gramStart"/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>увеличился по сравнению с 2023 годом на 5,64% и составил</w:t>
      </w:r>
      <w:proofErr w:type="gramEnd"/>
      <w:r w:rsidRPr="008B56D1">
        <w:rPr>
          <w:rFonts w:ascii="Times New Roman CYR" w:hAnsi="Times New Roman CYR" w:cs="Times New Roman CYR"/>
          <w:sz w:val="24"/>
          <w:szCs w:val="24"/>
          <w:u w:color="FF0000"/>
        </w:rPr>
        <w:t xml:space="preserve"> 129 548,90 рублей. Рост показателя обусловлен</w:t>
      </w:r>
      <w:r w:rsidRPr="008B56D1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 увеличением индикативного показателя по должности учитель общеобразовательных учреждений, доведенного министерством образования Красноярского края, который составил в 2024 году 143 579,30 рублей.</w:t>
      </w:r>
    </w:p>
    <w:p w:rsidR="00290B68" w:rsidRPr="008B56D1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8B56D1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8B56D1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8.4. муниципальных учреждений культуры и искусства;</w:t>
      </w:r>
    </w:p>
    <w:p w:rsidR="00E707AE" w:rsidRDefault="00E707AE" w:rsidP="009D4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D4434" w:rsidRPr="00E707AE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 xml:space="preserve">Среднемесячная номинальная начисленная заработная плата работников культуры и искусства по итогам 2024 года составила 118 852,50 руб., что выше уровня 2023 года на 17,66 % (101 010,50 руб.). Рост заработной платы обусловлен Указами Президента Российской Федерации, а также </w:t>
      </w:r>
      <w:proofErr w:type="gramStart"/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>соглашением</w:t>
      </w:r>
      <w:proofErr w:type="gramEnd"/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 xml:space="preserve"> заключенным между министерством финансов Красноярского края и Администрацией Эвенкийского муниципального района о предоставлении дотации на частичную компенсацию расходов на повышение оплаты труда отдельным категориям работников бюджетной сферы Красноярского края. </w:t>
      </w:r>
    </w:p>
    <w:p w:rsidR="009D4434" w:rsidRPr="00E707AE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 xml:space="preserve">По оценке 2025 года среднемесячная заработная плата работников муниципальных учреждений культуры и искусства, с учетом индексации заработной платы составит </w:t>
      </w:r>
      <w:r w:rsidR="00E67478">
        <w:rPr>
          <w:rFonts w:ascii="Times New Roman CYR" w:hAnsi="Times New Roman CYR" w:cs="Times New Roman CYR"/>
          <w:sz w:val="24"/>
          <w:szCs w:val="24"/>
          <w:u w:color="FF0000"/>
        </w:rPr>
        <w:t xml:space="preserve">     </w:t>
      </w:r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>129 254,71 рублей.</w:t>
      </w:r>
    </w:p>
    <w:p w:rsidR="009D4434" w:rsidRPr="00E707AE" w:rsidRDefault="009D4434" w:rsidP="009D443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 xml:space="preserve">В прогнозном </w:t>
      </w:r>
      <w:proofErr w:type="gramStart"/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>периоде</w:t>
      </w:r>
      <w:proofErr w:type="gramEnd"/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 xml:space="preserve"> показатель увеличится и к 2027 году достигнет значения 155 957,70 рублей.</w:t>
      </w:r>
    </w:p>
    <w:p w:rsidR="00E3495E" w:rsidRPr="00E707AE" w:rsidRDefault="00E3495E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</w:p>
    <w:p w:rsidR="00290B68" w:rsidRPr="00E707AE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707AE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lastRenderedPageBreak/>
        <w:t xml:space="preserve">8.5. муниципальных учреждений </w:t>
      </w:r>
      <w:proofErr w:type="gramStart"/>
      <w:r w:rsidRPr="00E707AE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физической</w:t>
      </w:r>
      <w:proofErr w:type="gramEnd"/>
      <w:r w:rsidRPr="00E707AE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культуры и спорта</w:t>
      </w:r>
    </w:p>
    <w:p w:rsidR="00290B68" w:rsidRPr="00E707AE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D4434" w:rsidRPr="00E707AE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 xml:space="preserve">Среднемесячная номинальная начисленная заработная плата работников муниципальных учреждений </w:t>
      </w:r>
      <w:proofErr w:type="gramStart"/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>физической</w:t>
      </w:r>
      <w:proofErr w:type="gramEnd"/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 xml:space="preserve"> культуры и спорта</w:t>
      </w:r>
      <w:r w:rsidRPr="00E707AE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 xml:space="preserve"> </w:t>
      </w:r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>в 2024 году увеличилась на 12,39 % по сравнению с 2023 годом (81127 руб.) и составила 91174,80 рублей. Рост заработной платы основного персонала связан с индексацией заработной платы.</w:t>
      </w:r>
    </w:p>
    <w:p w:rsidR="009D4434" w:rsidRPr="00E707AE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 xml:space="preserve">В 2025 году значение показателя, с учетом индексации заработной платы, </w:t>
      </w:r>
      <w:proofErr w:type="gramStart"/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>увеличится на 5,61 % до  96294,80 рублей и сохранится</w:t>
      </w:r>
      <w:proofErr w:type="gramEnd"/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 xml:space="preserve"> на прогнозный период 2026-2027 гг. </w:t>
      </w:r>
    </w:p>
    <w:p w:rsidR="00290B68" w:rsidRPr="00E707AE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E707AE" w:rsidRDefault="00290B68" w:rsidP="00CC5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707AE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II. Дошкольное образование</w:t>
      </w:r>
    </w:p>
    <w:p w:rsidR="00290B68" w:rsidRPr="00E707AE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E707AE" w:rsidRDefault="00290B68" w:rsidP="001E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707AE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</w:t>
      </w:r>
    </w:p>
    <w:p w:rsidR="00932869" w:rsidRDefault="00932869" w:rsidP="009D4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D4434" w:rsidRPr="00E707AE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>В 2024 году доля детей в возрасте 1-6 лет,</w:t>
      </w:r>
      <w:r w:rsidRPr="00E707AE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 xml:space="preserve"> </w:t>
      </w:r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 xml:space="preserve">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 </w:t>
      </w:r>
      <w:proofErr w:type="gramStart"/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>уменьшилось по сравнению с 2023 годом на 0,32% и составила</w:t>
      </w:r>
      <w:proofErr w:type="gramEnd"/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 xml:space="preserve"> 79,38% (2023 г. – 79,7). </w:t>
      </w:r>
    </w:p>
    <w:p w:rsidR="009D4434" w:rsidRPr="00E707AE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  <w:u w:color="FF0000"/>
        </w:rPr>
      </w:pPr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 xml:space="preserve">Число детей, посещающих детские сады, в 2024 году </w:t>
      </w:r>
      <w:proofErr w:type="gramStart"/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>увеличилось и составило</w:t>
      </w:r>
      <w:proofErr w:type="gramEnd"/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 xml:space="preserve"> - 1032 (2023 г. -1021).</w:t>
      </w:r>
      <w:r w:rsidRPr="00E707AE">
        <w:rPr>
          <w:rFonts w:ascii="Calibri" w:hAnsi="Calibri" w:cs="Calibri"/>
          <w:sz w:val="24"/>
          <w:szCs w:val="24"/>
          <w:u w:color="FF0000"/>
        </w:rPr>
        <w:t xml:space="preserve"> </w:t>
      </w:r>
    </w:p>
    <w:p w:rsidR="009D4434" w:rsidRPr="00E707AE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707AE">
        <w:rPr>
          <w:rFonts w:ascii="Times New Roman CYR" w:hAnsi="Times New Roman CYR" w:cs="Times New Roman CYR"/>
          <w:sz w:val="24"/>
          <w:szCs w:val="24"/>
          <w:u w:color="FF0000"/>
        </w:rPr>
        <w:t>Снижение доли детей в возрасте 1-6 лет, посещающих детские сады, в 2024 году обусловлено увеличением общей численности детей в возрасте 1-6 лет на начало отчетного года (2024 г. -1300 чел., в 2023 г. – 1281чел.)</w:t>
      </w:r>
    </w:p>
    <w:p w:rsidR="00ED4148" w:rsidRPr="00E707AE" w:rsidRDefault="00ED414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E707AE" w:rsidRDefault="00290B68" w:rsidP="001E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707AE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4B18CF" w:rsidRDefault="004B18CF" w:rsidP="009D4434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D4434" w:rsidRPr="004B18CF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4B18CF">
        <w:rPr>
          <w:rFonts w:ascii="Times New Roman CYR" w:hAnsi="Times New Roman CYR" w:cs="Times New Roman CYR"/>
          <w:sz w:val="24"/>
          <w:szCs w:val="24"/>
          <w:u w:color="FF0000"/>
        </w:rPr>
        <w:t xml:space="preserve">По состоянию на 01.01.2025 услуги в области </w:t>
      </w:r>
      <w:proofErr w:type="gramStart"/>
      <w:r w:rsidRPr="004B18CF">
        <w:rPr>
          <w:rFonts w:ascii="Times New Roman CYR" w:hAnsi="Times New Roman CYR" w:cs="Times New Roman CYR"/>
          <w:sz w:val="24"/>
          <w:szCs w:val="24"/>
          <w:u w:color="FF0000"/>
        </w:rPr>
        <w:t>дошкольного</w:t>
      </w:r>
      <w:proofErr w:type="gramEnd"/>
      <w:r w:rsidRPr="004B18CF">
        <w:rPr>
          <w:rFonts w:ascii="Times New Roman CYR" w:hAnsi="Times New Roman CYR" w:cs="Times New Roman CYR"/>
          <w:sz w:val="24"/>
          <w:szCs w:val="24"/>
          <w:u w:color="FF0000"/>
        </w:rPr>
        <w:t xml:space="preserve"> образования оказывают 11 дошкольных образовательных организаций.</w:t>
      </w:r>
    </w:p>
    <w:p w:rsidR="009D4434" w:rsidRPr="004B18CF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4B18CF">
        <w:rPr>
          <w:rFonts w:ascii="Times New Roman CYR" w:hAnsi="Times New Roman CYR" w:cs="Times New Roman CYR"/>
          <w:sz w:val="24"/>
          <w:szCs w:val="24"/>
          <w:u w:color="FF0000"/>
        </w:rPr>
        <w:t xml:space="preserve">В 2024 году доля детей в возрасте 1-6 лет, стоящих на учете для определения </w:t>
      </w:r>
      <w:r w:rsidR="004B18CF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 </w:t>
      </w:r>
      <w:r w:rsidRPr="004B18CF">
        <w:rPr>
          <w:rFonts w:ascii="Times New Roman CYR" w:hAnsi="Times New Roman CYR" w:cs="Times New Roman CYR"/>
          <w:sz w:val="24"/>
          <w:szCs w:val="24"/>
          <w:u w:color="FF0000"/>
        </w:rPr>
        <w:t xml:space="preserve">в муниципальные дошкольные образовательные учреждения, в общей численности детей в возрасте 1-6 лет составила 0%. </w:t>
      </w:r>
    </w:p>
    <w:p w:rsidR="009D4434" w:rsidRPr="004B18CF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4B18CF">
        <w:rPr>
          <w:rFonts w:ascii="Times New Roman CYR" w:hAnsi="Times New Roman CYR" w:cs="Times New Roman CYR"/>
          <w:sz w:val="24"/>
          <w:szCs w:val="24"/>
          <w:u w:color="FF0000"/>
        </w:rPr>
        <w:t xml:space="preserve">Для расчета показателя использовались данные общей численности детей </w:t>
      </w:r>
      <w:r w:rsidR="004B18CF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      </w:t>
      </w:r>
      <w:r w:rsidRPr="004B18CF">
        <w:rPr>
          <w:rFonts w:ascii="Times New Roman CYR" w:hAnsi="Times New Roman CYR" w:cs="Times New Roman CYR"/>
          <w:sz w:val="24"/>
          <w:szCs w:val="24"/>
          <w:u w:color="FF0000"/>
        </w:rPr>
        <w:t>в возрасте 1</w:t>
      </w:r>
      <w:r w:rsidRPr="004B18CF">
        <w:rPr>
          <w:rFonts w:ascii="Times New Roman" w:hAnsi="Times New Roman" w:cs="Times New Roman"/>
          <w:sz w:val="24"/>
          <w:szCs w:val="24"/>
          <w:u w:color="FF0000"/>
        </w:rPr>
        <w:t>‒</w:t>
      </w:r>
      <w:r w:rsidRPr="004B18CF">
        <w:rPr>
          <w:rFonts w:ascii="Times New Roman CYR" w:hAnsi="Times New Roman CYR" w:cs="Times New Roman CYR"/>
          <w:sz w:val="24"/>
          <w:szCs w:val="24"/>
          <w:u w:color="FF0000"/>
        </w:rPr>
        <w:t xml:space="preserve">6 лет на начало отчетного года (1300 чел.) и численность детей в возрасте </w:t>
      </w:r>
      <w:r w:rsidR="004B18CF">
        <w:rPr>
          <w:rFonts w:ascii="Times New Roman CYR" w:hAnsi="Times New Roman CYR" w:cs="Times New Roman CYR"/>
          <w:sz w:val="24"/>
          <w:szCs w:val="24"/>
          <w:u w:color="FF0000"/>
        </w:rPr>
        <w:t xml:space="preserve">    </w:t>
      </w:r>
      <w:r w:rsidRPr="004B18CF">
        <w:rPr>
          <w:rFonts w:ascii="Times New Roman CYR" w:hAnsi="Times New Roman CYR" w:cs="Times New Roman CYR"/>
          <w:sz w:val="24"/>
          <w:szCs w:val="24"/>
          <w:u w:color="FF0000"/>
        </w:rPr>
        <w:t>1</w:t>
      </w:r>
      <w:r w:rsidRPr="004B18CF">
        <w:rPr>
          <w:rFonts w:ascii="Times New Roman" w:hAnsi="Times New Roman" w:cs="Times New Roman"/>
          <w:sz w:val="24"/>
          <w:szCs w:val="24"/>
          <w:u w:color="FF0000"/>
        </w:rPr>
        <w:t>‒</w:t>
      </w:r>
      <w:r w:rsidRPr="004B18CF">
        <w:rPr>
          <w:rFonts w:ascii="Times New Roman CYR" w:hAnsi="Times New Roman CYR" w:cs="Times New Roman CYR"/>
          <w:sz w:val="24"/>
          <w:szCs w:val="24"/>
          <w:u w:color="FF0000"/>
        </w:rPr>
        <w:t>6 лет, состоящих на учете для определения в муниципальные дошкольные образовательные организации (0 чел.). Расчет: 0/1300=0%.</w:t>
      </w:r>
    </w:p>
    <w:p w:rsidR="009D4434" w:rsidRPr="004B18CF" w:rsidRDefault="009D4434" w:rsidP="009D4434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4B18CF">
        <w:rPr>
          <w:rFonts w:ascii="Times New Roman CYR" w:hAnsi="Times New Roman CYR" w:cs="Times New Roman CYR"/>
          <w:sz w:val="24"/>
          <w:szCs w:val="24"/>
          <w:u w:color="FF0000"/>
        </w:rPr>
        <w:t xml:space="preserve">На прогнозный период до 2027 года показатель </w:t>
      </w:r>
      <w:proofErr w:type="gramStart"/>
      <w:r w:rsidRPr="004B18CF">
        <w:rPr>
          <w:rFonts w:ascii="Times New Roman CYR" w:hAnsi="Times New Roman CYR" w:cs="Times New Roman CYR"/>
          <w:sz w:val="24"/>
          <w:szCs w:val="24"/>
          <w:u w:color="FF0000"/>
        </w:rPr>
        <w:t>сохранится на уровне 2024 года и составит</w:t>
      </w:r>
      <w:proofErr w:type="gramEnd"/>
      <w:r w:rsidRPr="004B18CF">
        <w:rPr>
          <w:rFonts w:ascii="Times New Roman CYR" w:hAnsi="Times New Roman CYR" w:cs="Times New Roman CYR"/>
          <w:sz w:val="24"/>
          <w:szCs w:val="24"/>
          <w:u w:color="FF0000"/>
        </w:rPr>
        <w:t xml:space="preserve"> 0%. </w:t>
      </w:r>
    </w:p>
    <w:p w:rsidR="00290B68" w:rsidRPr="004B18CF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CC53BC" w:rsidRDefault="00290B68" w:rsidP="001E7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290B68" w:rsidRPr="00CC53BC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7E4E" w:rsidRPr="00A14B55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5"/>
          <w:sz w:val="24"/>
          <w:szCs w:val="24"/>
          <w:u w:color="FF0000"/>
        </w:rPr>
      </w:pPr>
      <w:r w:rsidRPr="00A14B55">
        <w:rPr>
          <w:rFonts w:ascii="Times New Roman CYR" w:hAnsi="Times New Roman CYR" w:cs="Times New Roman CYR"/>
          <w:sz w:val="24"/>
          <w:szCs w:val="24"/>
          <w:u w:color="FF0000"/>
        </w:rPr>
        <w:t xml:space="preserve">По состоянию на 01.01.2025 (данные отчета № 85-к) </w:t>
      </w:r>
      <w:r w:rsidRP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требуют капитального ремонта</w:t>
      </w:r>
      <w:r w:rsidRPr="00A14B55">
        <w:rPr>
          <w:rFonts w:ascii="Times New Roman CYR" w:hAnsi="Times New Roman CYR" w:cs="Times New Roman CYR"/>
          <w:sz w:val="24"/>
          <w:szCs w:val="24"/>
          <w:u w:color="FF0000"/>
        </w:rPr>
        <w:t xml:space="preserve"> три здания:</w:t>
      </w:r>
      <w:r w:rsidRP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 </w:t>
      </w:r>
    </w:p>
    <w:p w:rsidR="00B07E4E" w:rsidRPr="00A14B55" w:rsidRDefault="00A14B55" w:rsidP="00B07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5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1. МКДОУ «Детский сад «Чипкан» </w:t>
      </w:r>
      <w:proofErr w:type="spellStart"/>
      <w:r w:rsidR="00B07E4E" w:rsidRP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п</w:t>
      </w:r>
      <w:proofErr w:type="gramStart"/>
      <w:r w:rsidR="00B07E4E" w:rsidRP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.С</w:t>
      </w:r>
      <w:proofErr w:type="gramEnd"/>
      <w:r w:rsidR="00B07E4E" w:rsidRP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уринда</w:t>
      </w:r>
      <w:proofErr w:type="spellEnd"/>
      <w:r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»</w:t>
      </w:r>
      <w:r w:rsidR="00B07E4E" w:rsidRP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 ЭМР; </w:t>
      </w:r>
    </w:p>
    <w:p w:rsidR="00B07E4E" w:rsidRPr="00A14B55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5"/>
          <w:sz w:val="24"/>
          <w:szCs w:val="24"/>
          <w:u w:color="FF0000"/>
        </w:rPr>
      </w:pPr>
      <w:r w:rsidRP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2. М</w:t>
      </w:r>
      <w:r w:rsid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БДОУ «Детский сад №1 «Одуванчик»</w:t>
      </w:r>
      <w:r w:rsidRP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 п.Тура» ЭМР; </w:t>
      </w:r>
    </w:p>
    <w:p w:rsidR="00B07E4E" w:rsidRPr="00A14B55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3.  МБДОУ  «Детский сад №4 </w:t>
      </w:r>
      <w:r w:rsid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«</w:t>
      </w:r>
      <w:proofErr w:type="spellStart"/>
      <w:r w:rsid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Осиктакан</w:t>
      </w:r>
      <w:proofErr w:type="spellEnd"/>
      <w:r w:rsid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>»</w:t>
      </w:r>
      <w:r w:rsidRP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 п.Тура» ЭМР. </w:t>
      </w:r>
    </w:p>
    <w:p w:rsidR="00B07E4E" w:rsidRPr="00A14B55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14B55">
        <w:rPr>
          <w:rFonts w:ascii="Times New Roman CYR" w:hAnsi="Times New Roman CYR" w:cs="Times New Roman CYR"/>
          <w:spacing w:val="5"/>
          <w:sz w:val="24"/>
          <w:szCs w:val="24"/>
          <w:u w:color="FF0000"/>
        </w:rPr>
        <w:t xml:space="preserve">Доля </w:t>
      </w:r>
      <w:r w:rsidRPr="00A14B55">
        <w:rPr>
          <w:rFonts w:ascii="Times New Roman CYR" w:hAnsi="Times New Roman CYR" w:cs="Times New Roman CYR"/>
          <w:sz w:val="24"/>
          <w:szCs w:val="24"/>
          <w:u w:color="FF0000"/>
        </w:rPr>
        <w:t xml:space="preserve">муниципальных дошкольных образовательных учреждений, здания которых </w:t>
      </w:r>
      <w:r w:rsidRPr="00A14B55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 xml:space="preserve">находятся в аварийном состоянии или </w:t>
      </w:r>
      <w:proofErr w:type="gramStart"/>
      <w:r w:rsidRPr="00A14B55">
        <w:rPr>
          <w:rFonts w:ascii="Times New Roman CYR" w:hAnsi="Times New Roman CYR" w:cs="Times New Roman CYR"/>
          <w:sz w:val="24"/>
          <w:szCs w:val="24"/>
          <w:u w:color="FF0000"/>
        </w:rPr>
        <w:t>требуют капитального ремонта в 2024 году составила</w:t>
      </w:r>
      <w:proofErr w:type="gramEnd"/>
      <w:r w:rsidRPr="00A14B55">
        <w:rPr>
          <w:rFonts w:ascii="Times New Roman CYR" w:hAnsi="Times New Roman CYR" w:cs="Times New Roman CYR"/>
          <w:sz w:val="24"/>
          <w:szCs w:val="24"/>
          <w:u w:color="FF0000"/>
        </w:rPr>
        <w:t xml:space="preserve"> 27,27% от общего числа муниципальных дошкольных общеобразовательных учреждений. Данный показатель вырос по сравнению с 2023 годом (9,09%), так как в 2024 году увеличилось число зданий требующих капитального ремонта.</w:t>
      </w:r>
    </w:p>
    <w:p w:rsidR="00B07E4E" w:rsidRPr="00A14B55" w:rsidRDefault="00B07E4E" w:rsidP="00A14B55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14B55">
        <w:rPr>
          <w:rFonts w:ascii="Times New Roman CYR" w:hAnsi="Times New Roman CYR" w:cs="Times New Roman CYR"/>
          <w:sz w:val="24"/>
          <w:szCs w:val="24"/>
          <w:u w:color="FF0000"/>
        </w:rPr>
        <w:t>Для расчета показателя использовались данные общего числа муниципальных дошкольных образовательных организаций (11 ед.) и числа муниципальных дошкольных образовательных организаций, здания которых находятся в аварийном состоянии или требуют капитального ремонта (3 ед.). Расчет: 3/11*100%=27,27 %.</w:t>
      </w:r>
    </w:p>
    <w:p w:rsidR="00290B68" w:rsidRPr="00CC53BC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CC53BC" w:rsidRDefault="00290B68" w:rsidP="001E7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III. Общее и дополнительное образование</w:t>
      </w:r>
    </w:p>
    <w:p w:rsidR="00290B68" w:rsidRPr="00CC53BC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CC53BC" w:rsidRDefault="00290B68" w:rsidP="008E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BA14EB" w:rsidRDefault="00BA14EB" w:rsidP="00B07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B07E4E" w:rsidRPr="00BA14EB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A14EB">
        <w:rPr>
          <w:rFonts w:ascii="Times New Roman CYR" w:hAnsi="Times New Roman CYR" w:cs="Times New Roman CYR"/>
          <w:sz w:val="24"/>
          <w:szCs w:val="24"/>
          <w:u w:color="FF0000"/>
        </w:rPr>
        <w:t xml:space="preserve">Доля выпускников муниципальных общеобразовательных учреждений, не получивших аттестат о среднем (полном) образовании в 2024 году, от общей численности выпускников муниципальных общеобразовательных учреждений, составила 0 % (2023 год - 2,63%), так как все выпускники муниципальных общеобразовательных учреждений получили аттестат о среднем общем образовании. Это связано с улучшением специальной методической подготовки учителей, участия их в </w:t>
      </w:r>
      <w:proofErr w:type="spellStart"/>
      <w:r w:rsidRPr="00BA14EB">
        <w:rPr>
          <w:rFonts w:ascii="Times New Roman CYR" w:hAnsi="Times New Roman CYR" w:cs="Times New Roman CYR"/>
          <w:sz w:val="24"/>
          <w:szCs w:val="24"/>
          <w:u w:color="FF0000"/>
        </w:rPr>
        <w:t>вебинарах</w:t>
      </w:r>
      <w:proofErr w:type="spellEnd"/>
      <w:r w:rsidRPr="00BA14EB">
        <w:rPr>
          <w:rFonts w:ascii="Times New Roman CYR" w:hAnsi="Times New Roman CYR" w:cs="Times New Roman CYR"/>
          <w:sz w:val="24"/>
          <w:szCs w:val="24"/>
          <w:u w:color="FF0000"/>
        </w:rPr>
        <w:t xml:space="preserve">, дистанционном и очном обучении, направленных на подготовку детей к сдаче экзаменов. </w:t>
      </w:r>
    </w:p>
    <w:p w:rsidR="00B07E4E" w:rsidRPr="00BA14EB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A14EB">
        <w:rPr>
          <w:rFonts w:ascii="Times New Roman CYR" w:hAnsi="Times New Roman CYR" w:cs="Times New Roman CYR"/>
          <w:sz w:val="24"/>
          <w:szCs w:val="24"/>
          <w:u w:color="FF0000"/>
        </w:rPr>
        <w:tab/>
        <w:t>На прогнозный период до 2027 года пок</w:t>
      </w:r>
      <w:r w:rsidR="00BA14EB">
        <w:rPr>
          <w:rFonts w:ascii="Times New Roman CYR" w:hAnsi="Times New Roman CYR" w:cs="Times New Roman CYR"/>
          <w:sz w:val="24"/>
          <w:szCs w:val="24"/>
          <w:u w:color="FF0000"/>
        </w:rPr>
        <w:t xml:space="preserve">азатель </w:t>
      </w:r>
      <w:proofErr w:type="gramStart"/>
      <w:r w:rsidR="00BA14EB">
        <w:rPr>
          <w:rFonts w:ascii="Times New Roman CYR" w:hAnsi="Times New Roman CYR" w:cs="Times New Roman CYR"/>
          <w:sz w:val="24"/>
          <w:szCs w:val="24"/>
          <w:u w:color="FF0000"/>
        </w:rPr>
        <w:t xml:space="preserve">сохранится на уровне </w:t>
      </w:r>
      <w:r w:rsidRPr="00BA14EB">
        <w:rPr>
          <w:rFonts w:ascii="Times New Roman CYR" w:hAnsi="Times New Roman CYR" w:cs="Times New Roman CYR"/>
          <w:sz w:val="24"/>
          <w:szCs w:val="24"/>
          <w:u w:color="FF0000"/>
        </w:rPr>
        <w:t>2024 года и составит</w:t>
      </w:r>
      <w:proofErr w:type="gramEnd"/>
      <w:r w:rsidRPr="00BA14EB">
        <w:rPr>
          <w:rFonts w:ascii="Times New Roman CYR" w:hAnsi="Times New Roman CYR" w:cs="Times New Roman CYR"/>
          <w:sz w:val="24"/>
          <w:szCs w:val="24"/>
          <w:u w:color="FF0000"/>
        </w:rPr>
        <w:t xml:space="preserve"> 0 %. </w:t>
      </w:r>
    </w:p>
    <w:p w:rsidR="00ED4148" w:rsidRPr="009A4710" w:rsidRDefault="00ED414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u w:color="FF0000"/>
        </w:rPr>
      </w:pPr>
    </w:p>
    <w:p w:rsidR="00290B68" w:rsidRPr="00CC53BC" w:rsidRDefault="00290B68" w:rsidP="008E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A710EA" w:rsidRPr="009A4710" w:rsidRDefault="00A710EA" w:rsidP="00B07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u w:color="FF0000"/>
        </w:rPr>
      </w:pPr>
    </w:p>
    <w:p w:rsidR="00B07E4E" w:rsidRPr="00A710EA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За 2024 год </w:t>
      </w:r>
      <w:r w:rsidRPr="00A710EA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12</w:t>
      </w: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,87 %.</w:t>
      </w:r>
    </w:p>
    <w:p w:rsidR="00B07E4E" w:rsidRPr="00A710EA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gram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В отчетном году на территории района осуществляли деятельность 8 общеобразовательных организаций.</w:t>
      </w:r>
      <w:proofErr w:type="gram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У 6 базовых школ имеются 1</w:t>
      </w:r>
      <w:r w:rsid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3 филиалов.                      </w:t>
      </w: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5 общеобразовательных организаций, в т.ч. 12 филиалов, не соответствовали современным требованиям обучения: </w:t>
      </w:r>
    </w:p>
    <w:p w:rsidR="00B07E4E" w:rsidRPr="00A710EA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1. МКОУ «Суриндинская основная школа» (отсутствие водопровода, канализации, пожарных кранов и рукавов).</w:t>
      </w:r>
    </w:p>
    <w:p w:rsidR="00B07E4E" w:rsidRPr="00A710EA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2. Филиалы МБОУ «</w:t>
      </w:r>
      <w:proofErr w:type="spell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Ванаварская</w:t>
      </w:r>
      <w:proofErr w:type="spell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средняя школа» ЭМР:</w:t>
      </w:r>
    </w:p>
    <w:p w:rsidR="00B07E4E" w:rsidRPr="00A710EA" w:rsidRDefault="00B07E4E" w:rsidP="00B07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spell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Муторайская</w:t>
      </w:r>
      <w:proofErr w:type="spell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начальная школа-детский сад (отсутствие водопровода, канализации, пожарных кранов и рукавов);</w:t>
      </w:r>
    </w:p>
    <w:p w:rsidR="00B07E4E" w:rsidRPr="00A710EA" w:rsidRDefault="00B07E4E" w:rsidP="00B07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spell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Стрелковская</w:t>
      </w:r>
      <w:proofErr w:type="spell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средняя школа детский сад» (отсутствие водопровода, канализации, пожарные кранов и рукавов).</w:t>
      </w:r>
    </w:p>
    <w:p w:rsidR="00B07E4E" w:rsidRPr="00A710EA" w:rsidRDefault="00B07E4E" w:rsidP="00B07E4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3. Филиалы МБОУ «Байкитская средняя школа» ЭМР: </w:t>
      </w:r>
    </w:p>
    <w:p w:rsidR="00B07E4E" w:rsidRPr="00A710EA" w:rsidRDefault="00B07E4E" w:rsidP="00B07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Суломайская начальная школа-детский сад (отсутствие водопровода, канализации);</w:t>
      </w:r>
    </w:p>
    <w:p w:rsidR="00B07E4E" w:rsidRPr="00A710EA" w:rsidRDefault="00B07E4E" w:rsidP="00B07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Бурненская начальная школа (отсутствие водопровода, канализации, центрального отопления);</w:t>
      </w:r>
    </w:p>
    <w:p w:rsidR="00B07E4E" w:rsidRPr="00A710EA" w:rsidRDefault="00B07E4E" w:rsidP="00B07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Полигусовская основная школа-детский сад (отсутствие водопровода, канализации);</w:t>
      </w:r>
    </w:p>
    <w:p w:rsidR="00B07E4E" w:rsidRPr="00A710EA" w:rsidRDefault="00B07E4E" w:rsidP="00B07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Кузьмовская начальная школа (отсутствие водопровода, канализации,  центрального отопления);</w:t>
      </w:r>
    </w:p>
    <w:p w:rsidR="00B07E4E" w:rsidRPr="00A710EA" w:rsidRDefault="00B07E4E" w:rsidP="00B07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Ошаровская начальная школа-детский сад (отсутствие водопровода, канализации);</w:t>
      </w:r>
    </w:p>
    <w:p w:rsidR="00B07E4E" w:rsidRPr="00A710EA" w:rsidRDefault="00B07E4E" w:rsidP="00B07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Куюмбинская начальная школа-детский сад (водопровода, пожарных кранов и рукавов).</w:t>
      </w:r>
    </w:p>
    <w:p w:rsidR="00B07E4E" w:rsidRPr="00A710EA" w:rsidRDefault="00B07E4E" w:rsidP="00B07E4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4. Филиалы МКОУ «Туринская средняя школа-интернат имени </w:t>
      </w:r>
      <w:proofErr w:type="spell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Алитета</w:t>
      </w:r>
      <w:proofErr w:type="spell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Николаевича Немтушкина» ЭМР:</w:t>
      </w:r>
    </w:p>
    <w:p w:rsidR="00B07E4E" w:rsidRPr="00A710EA" w:rsidRDefault="00B07E4E" w:rsidP="00B07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spell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Юктинская</w:t>
      </w:r>
      <w:proofErr w:type="spell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начальная школа-детский сад (отсутствие водопровода, канализации);</w:t>
      </w:r>
    </w:p>
    <w:p w:rsidR="00B07E4E" w:rsidRPr="00A710EA" w:rsidRDefault="00B07E4E" w:rsidP="00B07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spell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Кислоканская</w:t>
      </w:r>
      <w:proofErr w:type="spell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основная школа (отсутствие водопровода, канализации);</w:t>
      </w:r>
    </w:p>
    <w:p w:rsidR="00B07E4E" w:rsidRPr="00A710EA" w:rsidRDefault="00B07E4E" w:rsidP="00B07E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spell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Чириндинская</w:t>
      </w:r>
      <w:proofErr w:type="spell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начальная школа-детский сад им. Н.К. </w:t>
      </w:r>
      <w:proofErr w:type="spell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Оёгира</w:t>
      </w:r>
      <w:proofErr w:type="spell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» (отсутствие водопровода, пожарных кранов и рукавов).</w:t>
      </w:r>
    </w:p>
    <w:p w:rsidR="00B07E4E" w:rsidRPr="00A710EA" w:rsidRDefault="00B07E4E" w:rsidP="00B07E4E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5. Филиалы МКОУ</w:t>
      </w:r>
      <w:r w:rsidRPr="00A710EA">
        <w:rPr>
          <w:rFonts w:ascii="Calibri" w:hAnsi="Calibri" w:cs="Calibri"/>
          <w:sz w:val="24"/>
          <w:szCs w:val="24"/>
          <w:u w:color="FF0000"/>
        </w:rPr>
        <w:t xml:space="preserve"> </w:t>
      </w: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«</w:t>
      </w:r>
      <w:proofErr w:type="spell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Тутончанская</w:t>
      </w:r>
      <w:proofErr w:type="spell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средняя школа-детский сад» ЭМР: </w:t>
      </w:r>
    </w:p>
    <w:p w:rsidR="00290B68" w:rsidRPr="00A710EA" w:rsidRDefault="00B07E4E" w:rsidP="00290B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spell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Учамская</w:t>
      </w:r>
      <w:proofErr w:type="spell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начальная школа-детский сад (отсутствие водопровода, канализации, пожарных кранов и рукавов, центрального отопления).</w:t>
      </w:r>
    </w:p>
    <w:p w:rsidR="00290B68" w:rsidRPr="009A4710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u w:color="FF0000"/>
        </w:rPr>
      </w:pPr>
    </w:p>
    <w:p w:rsidR="00290B68" w:rsidRPr="00A710EA" w:rsidRDefault="00290B68" w:rsidP="008E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B07E4E" w:rsidRPr="009A4710" w:rsidRDefault="00B07E4E" w:rsidP="00B07E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  <w:u w:color="FF0000"/>
        </w:rPr>
      </w:pPr>
    </w:p>
    <w:p w:rsidR="00B07E4E" w:rsidRPr="00A710EA" w:rsidRDefault="00B07E4E" w:rsidP="00B07E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Доля муниципальных общеобразовательных учреждений, здания которых требуют капитального ремонта, в общем количестве муниципальных общеобразовательных учреждений в 2024 году составила 25%, в 2023 году составляла 37,50%. </w:t>
      </w:r>
    </w:p>
    <w:p w:rsidR="00B07E4E" w:rsidRPr="00A710EA" w:rsidRDefault="00B07E4E" w:rsidP="00B07E4E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>Для расчета показателя использовались данные</w:t>
      </w: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общей численности муниципальных общеобразовательных организаций (8ед.) и число муниципальных общеобразовательных организаций, здания которых находятся в аварийном состоянии или требуют капитального ремонта (2ед.). </w:t>
      </w:r>
    </w:p>
    <w:p w:rsidR="00B07E4E" w:rsidRPr="00A710EA" w:rsidRDefault="00B07E4E" w:rsidP="00B07E4E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Расчет: 2/8*100=25 %.</w:t>
      </w:r>
    </w:p>
    <w:p w:rsidR="00B07E4E" w:rsidRPr="00A710EA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Перечень общеобразовательных учреждений, требующих капитального ремонта:</w:t>
      </w:r>
    </w:p>
    <w:p w:rsidR="00B07E4E" w:rsidRPr="00A710EA" w:rsidRDefault="00157356" w:rsidP="00B0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- </w:t>
      </w:r>
      <w:r w:rsidR="00B07E4E" w:rsidRPr="00A710EA">
        <w:rPr>
          <w:rFonts w:ascii="Times New Roman CYR" w:hAnsi="Times New Roman CYR" w:cs="Times New Roman CYR"/>
          <w:sz w:val="24"/>
          <w:szCs w:val="24"/>
          <w:u w:color="FF0000"/>
        </w:rPr>
        <w:t>МБОУ «Байкитская средняя школа» ЭМР (3 здания);</w:t>
      </w:r>
    </w:p>
    <w:p w:rsidR="00B07E4E" w:rsidRPr="00A710EA" w:rsidRDefault="00B07E4E" w:rsidP="00B0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- МКОУ «Туринская средняя школа-интернат имени </w:t>
      </w:r>
      <w:proofErr w:type="spell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Алитета</w:t>
      </w:r>
      <w:proofErr w:type="spell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Николаевича Немтушкина» ЭМР и филиал МКОУ «Туринская средняя школа-интернат имени </w:t>
      </w:r>
      <w:proofErr w:type="spell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Алитета</w:t>
      </w:r>
      <w:proofErr w:type="spell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Николаевича Немтушкина» </w:t>
      </w:r>
      <w:proofErr w:type="spell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Юктинская</w:t>
      </w:r>
      <w:proofErr w:type="spell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начальная школа-детский сад.</w:t>
      </w:r>
    </w:p>
    <w:p w:rsidR="00290B68" w:rsidRPr="00A710EA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A710EA" w:rsidRDefault="00290B68" w:rsidP="008E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16. Доля детей первой и второй групп здоровья в общей </w:t>
      </w:r>
      <w:proofErr w:type="gramStart"/>
      <w:r w:rsidRPr="00A710EA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численности</w:t>
      </w:r>
      <w:proofErr w:type="gramEnd"/>
      <w:r w:rsidRPr="00A710EA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обучающихся в муниципальных общеобразовательных учреждениях</w:t>
      </w:r>
    </w:p>
    <w:p w:rsidR="00B07E4E" w:rsidRPr="00A710EA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B07E4E" w:rsidRPr="00A710EA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Доля детей первой и второй групп здоровья в общей </w:t>
      </w:r>
      <w:proofErr w:type="gram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численности</w:t>
      </w:r>
      <w:proofErr w:type="gram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обучающихся в муниципальных общеобразовательных учреждениях в 2024 г. уменьшилась по сравнению с 2023 г. и составила 66,48%. (2023 г. – 81,74%). </w:t>
      </w:r>
    </w:p>
    <w:p w:rsidR="00B07E4E" w:rsidRPr="00A710EA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Ежегодно в общеобразовательных учреждениях проходят медицинские осмотры детей, в результате которых определяется группа здоровья учащихся. В </w:t>
      </w:r>
      <w:proofErr w:type="gram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школах</w:t>
      </w:r>
      <w:proofErr w:type="gram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района созданы все условия для организации здорового питания учащихся и занятия спортом. </w:t>
      </w:r>
    </w:p>
    <w:p w:rsidR="00157356" w:rsidRDefault="00B07E4E" w:rsidP="00DD2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На прогнозный период до 2027 года показатель увеличиться и составит 75%, </w:t>
      </w:r>
      <w:r w:rsidR="00157356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  </w:t>
      </w: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в связи с увеличением детей ОВЗ.</w:t>
      </w:r>
    </w:p>
    <w:p w:rsidR="00157356" w:rsidRPr="00A710EA" w:rsidRDefault="00157356" w:rsidP="00290B68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A710EA" w:rsidRDefault="00290B68" w:rsidP="008E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17. 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A710EA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численности</w:t>
      </w:r>
      <w:proofErr w:type="gramEnd"/>
      <w:r w:rsidRPr="00A710EA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обучающихся в муниципальных общеобразовательных учреждениях</w:t>
      </w:r>
    </w:p>
    <w:p w:rsidR="00157356" w:rsidRPr="009A4710" w:rsidRDefault="00157356" w:rsidP="00B07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  <w:u w:color="FF0000"/>
        </w:rPr>
      </w:pPr>
    </w:p>
    <w:p w:rsidR="00B07E4E" w:rsidRPr="00A710EA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Доля обучающихся в муниципальных общеобразовательных учреждениях, занимающихся во вторую смену, в общей </w:t>
      </w:r>
      <w:proofErr w:type="gramStart"/>
      <w:r w:rsidRPr="00A710EA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>численности</w:t>
      </w:r>
      <w:proofErr w:type="gramEnd"/>
      <w:r w:rsidRPr="00A710EA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 обучающихся в муниципальных общеобразовательных учреждениях в 2024 году составила 0%. В связи с открытием новой школы в с. </w:t>
      </w:r>
      <w:proofErr w:type="spellStart"/>
      <w:r w:rsidRPr="00A710EA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>Ванавара</w:t>
      </w:r>
      <w:proofErr w:type="spellEnd"/>
      <w:r w:rsidRPr="00A710EA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 во всех образовательных учреждениях в 2024-2025 учебном году обучение организовано в первую смену. </w:t>
      </w:r>
    </w:p>
    <w:p w:rsidR="00B07E4E" w:rsidRPr="00A710EA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ab/>
        <w:t>На прогнозный период до 2027 года пок</w:t>
      </w:r>
      <w:r w:rsidR="00157356">
        <w:rPr>
          <w:rFonts w:ascii="Times New Roman CYR" w:hAnsi="Times New Roman CYR" w:cs="Times New Roman CYR"/>
          <w:sz w:val="24"/>
          <w:szCs w:val="24"/>
          <w:u w:color="FF0000"/>
        </w:rPr>
        <w:t xml:space="preserve">азатель </w:t>
      </w:r>
      <w:proofErr w:type="gramStart"/>
      <w:r w:rsidR="00157356">
        <w:rPr>
          <w:rFonts w:ascii="Times New Roman CYR" w:hAnsi="Times New Roman CYR" w:cs="Times New Roman CYR"/>
          <w:sz w:val="24"/>
          <w:szCs w:val="24"/>
          <w:u w:color="FF0000"/>
        </w:rPr>
        <w:t xml:space="preserve">сохранится на уровне </w:t>
      </w: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2024 года и составит</w:t>
      </w:r>
      <w:proofErr w:type="gram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0 %. </w:t>
      </w:r>
    </w:p>
    <w:p w:rsidR="00290B68" w:rsidRPr="009A4710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u w:color="FF0000"/>
        </w:rPr>
      </w:pPr>
    </w:p>
    <w:p w:rsidR="00290B68" w:rsidRPr="00A710EA" w:rsidRDefault="00290B68" w:rsidP="008E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157356" w:rsidRPr="009A4710" w:rsidRDefault="00157356" w:rsidP="00B0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  <w:u w:color="FF0000"/>
        </w:rPr>
      </w:pPr>
    </w:p>
    <w:p w:rsidR="00B07E4E" w:rsidRPr="00A710EA" w:rsidRDefault="00B07E4E" w:rsidP="00B0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района за 2024 год составили 350,12 тыс. рублей, что на 22,59% больше, по сравнению с 2023 годом. Рост показателя обусловлен удорожанием продуктов питания, коммунальных и прочих услуг в сфере обслуживания.</w:t>
      </w:r>
    </w:p>
    <w:p w:rsidR="00B07E4E" w:rsidRPr="00A710EA" w:rsidRDefault="00B07E4E" w:rsidP="00B0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В связи с ежегодным увеличением цен на товары и услуги в прогнозном периоде ожидается рост расходов на 1 </w:t>
      </w:r>
      <w:proofErr w:type="gramStart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>обучающегося</w:t>
      </w:r>
      <w:proofErr w:type="gramEnd"/>
      <w:r w:rsidRPr="00A710EA">
        <w:rPr>
          <w:rFonts w:ascii="Times New Roman CYR" w:hAnsi="Times New Roman CYR" w:cs="Times New Roman CYR"/>
          <w:sz w:val="24"/>
          <w:szCs w:val="24"/>
          <w:u w:color="FF0000"/>
        </w:rPr>
        <w:t xml:space="preserve"> на 5,0 %.</w:t>
      </w:r>
    </w:p>
    <w:p w:rsidR="00ED4148" w:rsidRPr="009A4710" w:rsidRDefault="00ED414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u w:color="FF0000"/>
        </w:rPr>
      </w:pPr>
    </w:p>
    <w:p w:rsidR="00290B68" w:rsidRPr="007A3F96" w:rsidRDefault="00290B68" w:rsidP="008E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7A3F96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B07E4E" w:rsidRPr="009A4710" w:rsidRDefault="00B07E4E" w:rsidP="00B07E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u w:color="FF0000"/>
        </w:rPr>
      </w:pPr>
    </w:p>
    <w:p w:rsidR="00B07E4E" w:rsidRPr="007A3F96" w:rsidRDefault="00B07E4E" w:rsidP="00B07E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7A3F96">
        <w:rPr>
          <w:rFonts w:ascii="Times New Roman CYR" w:hAnsi="Times New Roman CYR" w:cs="Times New Roman CYR"/>
          <w:sz w:val="24"/>
          <w:szCs w:val="24"/>
          <w:u w:color="FF0000"/>
        </w:rPr>
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в 2024 г. снизилась по сравнению с 2023 г. на 4,81% и составила 64,88% (2023 г.–69,69%). Снижение показателя обусловлено изменением подходов к определению охвата детей дополнительным образованием. Процент охвата определяется консолидированным способом из данных АИС «Навигатор» и данных Министерства культуры Красноярского края, доводится показатель Региональным модельным центром дополнительного образования.</w:t>
      </w:r>
      <w:r w:rsidRPr="007A3F96">
        <w:rPr>
          <w:rFonts w:ascii="Calibri" w:hAnsi="Calibri" w:cs="Calibri"/>
          <w:sz w:val="24"/>
          <w:szCs w:val="24"/>
          <w:u w:color="FF0000"/>
        </w:rPr>
        <w:t xml:space="preserve"> </w:t>
      </w:r>
      <w:r w:rsidRPr="007A3F96">
        <w:rPr>
          <w:rFonts w:ascii="Times New Roman CYR" w:hAnsi="Times New Roman CYR" w:cs="Times New Roman CYR"/>
          <w:sz w:val="24"/>
          <w:szCs w:val="24"/>
          <w:u w:color="FF0000"/>
        </w:rPr>
        <w:t xml:space="preserve">В </w:t>
      </w:r>
      <w:proofErr w:type="gramStart"/>
      <w:r w:rsidRPr="007A3F96">
        <w:rPr>
          <w:rFonts w:ascii="Times New Roman CYR" w:hAnsi="Times New Roman CYR" w:cs="Times New Roman CYR"/>
          <w:sz w:val="24"/>
          <w:szCs w:val="24"/>
          <w:u w:color="FF0000"/>
        </w:rPr>
        <w:t>течении</w:t>
      </w:r>
      <w:proofErr w:type="gramEnd"/>
      <w:r w:rsidRPr="007A3F96">
        <w:rPr>
          <w:rFonts w:ascii="Times New Roman CYR" w:hAnsi="Times New Roman CYR" w:cs="Times New Roman CYR"/>
          <w:sz w:val="24"/>
          <w:szCs w:val="24"/>
          <w:u w:color="FF0000"/>
        </w:rPr>
        <w:t xml:space="preserve"> 2024 года не функционировал АИС </w:t>
      </w:r>
      <w:proofErr w:type="spellStart"/>
      <w:r w:rsidRPr="007A3F96">
        <w:rPr>
          <w:rFonts w:ascii="Times New Roman CYR" w:hAnsi="Times New Roman CYR" w:cs="Times New Roman CYR"/>
          <w:sz w:val="24"/>
          <w:szCs w:val="24"/>
          <w:u w:color="FF0000"/>
        </w:rPr>
        <w:t>Новигатор</w:t>
      </w:r>
      <w:proofErr w:type="spellEnd"/>
      <w:r w:rsidRPr="007A3F96">
        <w:rPr>
          <w:rFonts w:ascii="Times New Roman CYR" w:hAnsi="Times New Roman CYR" w:cs="Times New Roman CYR"/>
          <w:sz w:val="24"/>
          <w:szCs w:val="24"/>
          <w:u w:color="FF0000"/>
        </w:rPr>
        <w:t>. После восстановления доступа к программе МБУ ДО «</w:t>
      </w:r>
      <w:proofErr w:type="gramStart"/>
      <w:r w:rsidRPr="007A3F96">
        <w:rPr>
          <w:rFonts w:ascii="Times New Roman CYR" w:hAnsi="Times New Roman CYR" w:cs="Times New Roman CYR"/>
          <w:sz w:val="24"/>
          <w:szCs w:val="24"/>
          <w:u w:color="FF0000"/>
        </w:rPr>
        <w:t>Спортивная</w:t>
      </w:r>
      <w:proofErr w:type="gramEnd"/>
      <w:r w:rsidRPr="007A3F96">
        <w:rPr>
          <w:rFonts w:ascii="Times New Roman CYR" w:hAnsi="Times New Roman CYR" w:cs="Times New Roman CYR"/>
          <w:sz w:val="24"/>
          <w:szCs w:val="24"/>
          <w:u w:color="FF0000"/>
        </w:rPr>
        <w:t xml:space="preserve"> школа» не внесла свои показатели, из за чего уровень района снизился. </w:t>
      </w:r>
    </w:p>
    <w:p w:rsidR="00290B68" w:rsidRPr="007A3F96" w:rsidRDefault="00B07E4E" w:rsidP="007A3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7A3F96">
        <w:rPr>
          <w:rFonts w:ascii="Times New Roman CYR" w:hAnsi="Times New Roman CYR" w:cs="Times New Roman CYR"/>
          <w:sz w:val="24"/>
          <w:szCs w:val="24"/>
          <w:u w:color="FF0000"/>
        </w:rPr>
        <w:t>По оценке 2025 года и прогнозного периода 2026-2027 гг. планируется увеличить охват детей программами дополнительного образования. 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ожидается на уровне 69,0 % - 2025 г., 70,0 % - 2026 г., 75,0 % - 2027 г.</w:t>
      </w:r>
    </w:p>
    <w:p w:rsidR="00290B68" w:rsidRPr="009A4710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u w:color="FF0000"/>
        </w:rPr>
      </w:pPr>
    </w:p>
    <w:p w:rsidR="00290B68" w:rsidRPr="00CC53BC" w:rsidRDefault="00290B68" w:rsidP="008E6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IV. Культура</w:t>
      </w:r>
    </w:p>
    <w:p w:rsidR="00290B68" w:rsidRPr="009A4710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u w:color="FF0000"/>
        </w:rPr>
      </w:pPr>
    </w:p>
    <w:p w:rsidR="00290B68" w:rsidRPr="00CC53BC" w:rsidRDefault="00290B68" w:rsidP="008E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20. Уровень фактической обеспеченности учреждениями культуры от нормативной потребности:</w:t>
      </w:r>
    </w:p>
    <w:p w:rsidR="00290B68" w:rsidRPr="009A4710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color="FF0000"/>
        </w:rPr>
      </w:pPr>
    </w:p>
    <w:p w:rsidR="00B07E4E" w:rsidRPr="00AF32AC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t xml:space="preserve">Отрасль культуры объединяет деятельность по сохранению объектов культурного наследия, развитию библиотечного, клубного, музейного дела, а также развитию образования в сфере культуры и искусства, по состоянию </w:t>
      </w:r>
      <w:proofErr w:type="gramStart"/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t>на конец</w:t>
      </w:r>
      <w:proofErr w:type="gramEnd"/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t xml:space="preserve"> 2024 года сеть культуры Эвенкийского муниципального района  составляет 25 библиотечных систем, 21 клубное учреждение, 3 учреждения музейного типа, 3 детские школы искусств. </w:t>
      </w:r>
    </w:p>
    <w:p w:rsidR="00290B68" w:rsidRPr="009A4710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u w:color="FF0000"/>
        </w:rPr>
      </w:pPr>
    </w:p>
    <w:p w:rsidR="00290B68" w:rsidRPr="00AF32AC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 w:rsidRPr="00AF32A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клубами и учреждениями клубного типа;</w:t>
      </w:r>
    </w:p>
    <w:p w:rsidR="00B07E4E" w:rsidRPr="009A4710" w:rsidRDefault="00B07E4E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u w:color="FF0000"/>
        </w:rPr>
      </w:pPr>
    </w:p>
    <w:p w:rsidR="00B07E4E" w:rsidRPr="00AF32AC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t xml:space="preserve">Уровень фактической обеспеченности клубами и учреждениями клубного типа от нормативной потребности в 2024 году составил 58,33%. </w:t>
      </w:r>
    </w:p>
    <w:p w:rsidR="00B07E4E" w:rsidRPr="00AF32AC" w:rsidRDefault="00B07E4E" w:rsidP="00B07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F32AC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>Для расчета показателя использовались данные</w:t>
      </w:r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t xml:space="preserve"> общего числа учреждений культурно - </w:t>
      </w:r>
      <w:proofErr w:type="spellStart"/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t>досугового</w:t>
      </w:r>
      <w:proofErr w:type="spellEnd"/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t xml:space="preserve"> типа в количестве 21 единицы и требуемого количества </w:t>
      </w:r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 xml:space="preserve">учреждений культурно - </w:t>
      </w:r>
      <w:proofErr w:type="spellStart"/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t>досугового</w:t>
      </w:r>
      <w:proofErr w:type="spellEnd"/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t xml:space="preserve"> типа в соответствии с утвержденным нормативом в количестве 36 единиц (распоряжение Минкультуры России от 23.10.2023 № Р-2879).</w:t>
      </w:r>
    </w:p>
    <w:p w:rsidR="00B07E4E" w:rsidRPr="00AF32AC" w:rsidRDefault="00B07E4E" w:rsidP="00B07E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t>На прогнозный период 2025-2027 годы планируется сохранение значения показателя.</w:t>
      </w:r>
    </w:p>
    <w:p w:rsidR="00290B68" w:rsidRPr="009A4710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u w:color="FF0000"/>
        </w:rPr>
      </w:pPr>
    </w:p>
    <w:p w:rsidR="00290B68" w:rsidRPr="00AF32AC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AF32A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библиотеками;</w:t>
      </w:r>
    </w:p>
    <w:p w:rsidR="00290B68" w:rsidRPr="009A4710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color="FF0000"/>
        </w:rPr>
      </w:pPr>
    </w:p>
    <w:p w:rsidR="00B07E4E" w:rsidRPr="00AF32AC" w:rsidRDefault="00B07E4E" w:rsidP="00B07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t xml:space="preserve">Уровень фактической обеспеченности библиотеками от нормативной потребности в 2024 году составил 69,4%. </w:t>
      </w:r>
      <w:r w:rsidRPr="00AF32AC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>Для расчета показателя использовались данные</w:t>
      </w:r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t xml:space="preserve"> общего числа библиотек и библиотек - филиалов на конец отчетного года в количестве 25 единиц и требуемого количества общедоступных библиотек в соответствии с утвержденными нормативами – 36 единиц (распоряжение Минкультуры России от 23.10.2023 № Р-2879).</w:t>
      </w:r>
    </w:p>
    <w:p w:rsidR="00B07E4E" w:rsidRPr="00AF32AC" w:rsidRDefault="00B07E4E" w:rsidP="00B07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t>На прогнозный период 2025 - 2027 годы планируется сохранение значения показателя.</w:t>
      </w:r>
    </w:p>
    <w:p w:rsidR="00290B68" w:rsidRPr="009A4710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u w:color="FF0000"/>
        </w:rPr>
      </w:pPr>
    </w:p>
    <w:p w:rsidR="00290B68" w:rsidRPr="00AF32AC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AF32A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парками культуры и отдыха.</w:t>
      </w:r>
    </w:p>
    <w:p w:rsidR="00290B68" w:rsidRPr="009A4710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color="FF0000"/>
        </w:rPr>
      </w:pPr>
    </w:p>
    <w:p w:rsidR="00290B68" w:rsidRPr="00AF32AC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ind w:left="20"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F32AC">
        <w:rPr>
          <w:rFonts w:ascii="Times New Roman CYR" w:hAnsi="Times New Roman CYR" w:cs="Times New Roman CYR"/>
          <w:sz w:val="24"/>
          <w:szCs w:val="24"/>
          <w:u w:color="FF0000"/>
        </w:rPr>
        <w:t>На территории Эвенкийского муниципального района парки культуры и отдыха отсутствуют.</w:t>
      </w:r>
    </w:p>
    <w:p w:rsidR="000A7F5E" w:rsidRPr="009A4710" w:rsidRDefault="000A7F5E" w:rsidP="00290B68">
      <w:pPr>
        <w:widowControl w:val="0"/>
        <w:autoSpaceDE w:val="0"/>
        <w:autoSpaceDN w:val="0"/>
        <w:adjustRightInd w:val="0"/>
        <w:spacing w:after="0" w:line="240" w:lineRule="auto"/>
        <w:ind w:left="20" w:firstLine="720"/>
        <w:jc w:val="both"/>
        <w:rPr>
          <w:rFonts w:ascii="Times New Roman CYR" w:hAnsi="Times New Roman CYR" w:cs="Times New Roman CYR"/>
          <w:sz w:val="20"/>
          <w:szCs w:val="20"/>
          <w:u w:color="FF0000"/>
        </w:rPr>
      </w:pPr>
    </w:p>
    <w:p w:rsidR="00290B68" w:rsidRPr="00AF32AC" w:rsidRDefault="00290B68" w:rsidP="008E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AF32A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3A1211" w:rsidRPr="009A4710" w:rsidRDefault="003A1211" w:rsidP="007B4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u w:color="FF0000"/>
        </w:rPr>
      </w:pPr>
    </w:p>
    <w:p w:rsidR="007B4C9F" w:rsidRPr="003A1211" w:rsidRDefault="007B4C9F" w:rsidP="007B4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по Эвенкийскому муниципальному району за 2024 год составила 7,69%. </w:t>
      </w:r>
    </w:p>
    <w:p w:rsidR="007B4C9F" w:rsidRPr="003A1211" w:rsidRDefault="007B4C9F" w:rsidP="007B4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Общее количество зданий и помещений муниципальных учреждений культуры</w:t>
      </w:r>
      <w:r w:rsidRPr="003A1211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 xml:space="preserve"> </w:t>
      </w: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 xml:space="preserve">составляет 52 единицы, из них требуют </w:t>
      </w:r>
      <w:r w:rsidR="007B7047">
        <w:rPr>
          <w:rFonts w:ascii="Times New Roman CYR" w:hAnsi="Times New Roman CYR" w:cs="Times New Roman CYR"/>
          <w:sz w:val="24"/>
          <w:szCs w:val="24"/>
          <w:u w:color="FF0000"/>
        </w:rPr>
        <w:t>капитального ремонта -</w:t>
      </w: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 xml:space="preserve"> 4 единицы.</w:t>
      </w:r>
    </w:p>
    <w:p w:rsidR="007B4C9F" w:rsidRPr="003A1211" w:rsidRDefault="007B4C9F" w:rsidP="007B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Перечень зданий и помещений муниципальных учреждений культуры,  требующих капитального ремонта:</w:t>
      </w:r>
    </w:p>
    <w:p w:rsidR="007B4C9F" w:rsidRPr="003A1211" w:rsidRDefault="007B4C9F" w:rsidP="007B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-филиал - библиотека с. Мирюга;</w:t>
      </w:r>
    </w:p>
    <w:p w:rsidR="007B4C9F" w:rsidRPr="003A1211" w:rsidRDefault="007B4C9F" w:rsidP="007B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-МБУК «Эвенкийская централизованная библиотечная система»;</w:t>
      </w:r>
    </w:p>
    <w:p w:rsidR="007B4C9F" w:rsidRPr="003A1211" w:rsidRDefault="007B4C9F" w:rsidP="007B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-МБУК «Байкитская клубная система»;</w:t>
      </w:r>
    </w:p>
    <w:p w:rsidR="007B4C9F" w:rsidRPr="003A1211" w:rsidRDefault="007B4C9F" w:rsidP="007B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-МБУК «</w:t>
      </w:r>
      <w:proofErr w:type="spellStart"/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Ванаварская</w:t>
      </w:r>
      <w:proofErr w:type="spellEnd"/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 xml:space="preserve"> клубная система».</w:t>
      </w:r>
      <w:r w:rsidRPr="003A1211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 xml:space="preserve"> </w:t>
      </w:r>
    </w:p>
    <w:p w:rsidR="007B4C9F" w:rsidRPr="003A1211" w:rsidRDefault="007B4C9F" w:rsidP="007B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Здания, находящиеся в аварийном состоянии отсутствуют.</w:t>
      </w:r>
    </w:p>
    <w:p w:rsidR="007B4C9F" w:rsidRPr="003A1211" w:rsidRDefault="007B4C9F" w:rsidP="007B4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 xml:space="preserve">Планируемые значения показателя на трехлетний период (2025-2027 гг.), при общем количестве зданий муниципальных учреждений культуры 52 ед., составят: </w:t>
      </w:r>
    </w:p>
    <w:p w:rsidR="007B4C9F" w:rsidRPr="003A1211" w:rsidRDefault="007B4C9F" w:rsidP="007B4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- 2025 год – 5,76% (3 учреждения, здания которых находятся в аварийном состоянии или требуют капитального ремонта);</w:t>
      </w:r>
    </w:p>
    <w:p w:rsidR="007B4C9F" w:rsidRPr="003A1211" w:rsidRDefault="007B4C9F" w:rsidP="007B4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- 2026 год – 3,84% (2 учреждения, здания которых находятся в аварийном состоянии или требуют капитального ремонта).</w:t>
      </w:r>
    </w:p>
    <w:p w:rsidR="007B4C9F" w:rsidRPr="003A1211" w:rsidRDefault="007B4C9F" w:rsidP="007B4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- 2027 год – 1,92% (1 учреждение, здание которого находится в аварийном состоянии или требует капитального ремонта).</w:t>
      </w:r>
    </w:p>
    <w:p w:rsidR="00ED4148" w:rsidRPr="009A4710" w:rsidRDefault="00ED4148" w:rsidP="00290B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  <w:u w:color="FF0000"/>
        </w:rPr>
      </w:pPr>
    </w:p>
    <w:p w:rsidR="00290B68" w:rsidRDefault="00290B68" w:rsidP="005A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9A4710" w:rsidRPr="009A4710" w:rsidRDefault="009A4710" w:rsidP="005A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u w:color="FF0000"/>
        </w:rPr>
      </w:pPr>
    </w:p>
    <w:p w:rsidR="007B4C9F" w:rsidRPr="003A1211" w:rsidRDefault="007B4C9F" w:rsidP="007B4C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составляет 100%.</w:t>
      </w:r>
    </w:p>
    <w:p w:rsidR="007B4C9F" w:rsidRPr="003A1211" w:rsidRDefault="007B4C9F" w:rsidP="007B4C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0" w:firstLine="54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 xml:space="preserve">На территории Эвенкийского муниципального района находятся два объекта культурного наследия, </w:t>
      </w:r>
      <w:r w:rsidRPr="003A1211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>требующие консервации или реставрации:</w:t>
      </w:r>
    </w:p>
    <w:p w:rsidR="007B4C9F" w:rsidRPr="003A1211" w:rsidRDefault="007B4C9F" w:rsidP="007B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 xml:space="preserve">     - Обелиск Герою Советского Союза </w:t>
      </w:r>
      <w:proofErr w:type="spellStart"/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Увачану</w:t>
      </w:r>
      <w:proofErr w:type="spellEnd"/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 xml:space="preserve"> Иннокентию Петровичу (принят решением исполнительного комитета Красноярского краевого Совета народных депутатов от 24.12.1986 № 345, расположен в п. Тура).</w:t>
      </w:r>
    </w:p>
    <w:p w:rsidR="007B4C9F" w:rsidRPr="003A1211" w:rsidRDefault="007B4C9F" w:rsidP="007B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 xml:space="preserve">     - Экспедиционная база по изучению Тунгусского метеорита (принят решением исполнительного комитета Красноярского краевого Совета народных депутатов от 16.06.1980 № 384-15, расположен в 65 км по северо-западному направлению от села </w:t>
      </w:r>
      <w:proofErr w:type="spellStart"/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Ванавара</w:t>
      </w:r>
      <w:proofErr w:type="spellEnd"/>
      <w:r w:rsidRPr="003A1211">
        <w:rPr>
          <w:rFonts w:ascii="Times New Roman CYR" w:hAnsi="Times New Roman CYR" w:cs="Times New Roman CYR"/>
          <w:sz w:val="24"/>
          <w:szCs w:val="24"/>
          <w:u w:color="FF0000"/>
        </w:rPr>
        <w:t>) принят на учет как бесхозный объект.</w:t>
      </w:r>
    </w:p>
    <w:p w:rsidR="00290B68" w:rsidRPr="003A1211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CC53BC" w:rsidRDefault="00290B68" w:rsidP="008E6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V. Физическая культура и спорт</w:t>
      </w:r>
    </w:p>
    <w:p w:rsidR="00290B68" w:rsidRPr="00CC53BC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CC53BC" w:rsidRDefault="00290B68" w:rsidP="008E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23. Доля населения, систематически </w:t>
      </w:r>
      <w:proofErr w:type="gramStart"/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занимающегося</w:t>
      </w:r>
      <w:proofErr w:type="gramEnd"/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физической культурой и спортом</w:t>
      </w:r>
    </w:p>
    <w:p w:rsidR="00290B68" w:rsidRPr="00CC53BC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7B4C9F" w:rsidRPr="007B7047" w:rsidRDefault="007B4C9F" w:rsidP="007B70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7B7047">
        <w:rPr>
          <w:rFonts w:ascii="Times New Roman CYR" w:hAnsi="Times New Roman CYR" w:cs="Times New Roman CYR"/>
          <w:sz w:val="24"/>
          <w:szCs w:val="24"/>
          <w:u w:color="FF0000"/>
        </w:rPr>
        <w:t xml:space="preserve">В Эвенкийском муниципальном </w:t>
      </w:r>
      <w:proofErr w:type="gramStart"/>
      <w:r w:rsidRPr="007B7047">
        <w:rPr>
          <w:rFonts w:ascii="Times New Roman CYR" w:hAnsi="Times New Roman CYR" w:cs="Times New Roman CYR"/>
          <w:sz w:val="24"/>
          <w:szCs w:val="24"/>
          <w:u w:color="FF0000"/>
        </w:rPr>
        <w:t>районе</w:t>
      </w:r>
      <w:proofErr w:type="gramEnd"/>
      <w:r w:rsidRPr="007B7047">
        <w:rPr>
          <w:rFonts w:ascii="Times New Roman CYR" w:hAnsi="Times New Roman CYR" w:cs="Times New Roman CYR"/>
          <w:sz w:val="24"/>
          <w:szCs w:val="24"/>
          <w:u w:color="FF0000"/>
        </w:rPr>
        <w:t xml:space="preserve"> функционирует 28 спортивных сооружений. Из них 1 плоскостное </w:t>
      </w:r>
      <w:proofErr w:type="gramStart"/>
      <w:r w:rsidRPr="007B7047">
        <w:rPr>
          <w:rFonts w:ascii="Times New Roman CYR" w:hAnsi="Times New Roman CYR" w:cs="Times New Roman CYR"/>
          <w:sz w:val="24"/>
          <w:szCs w:val="24"/>
          <w:u w:color="FF0000"/>
        </w:rPr>
        <w:t>сооружение</w:t>
      </w:r>
      <w:proofErr w:type="gramEnd"/>
      <w:r w:rsidRPr="007B7047">
        <w:rPr>
          <w:rFonts w:ascii="Times New Roman CYR" w:hAnsi="Times New Roman CYR" w:cs="Times New Roman CYR"/>
          <w:sz w:val="24"/>
          <w:szCs w:val="24"/>
          <w:u w:color="FF0000"/>
        </w:rPr>
        <w:t xml:space="preserve"> требующее капитального ремонта, 3 лыжные трассы, 4 спортивных площадки, 1 площадка с тренажерами</w:t>
      </w:r>
      <w:r w:rsidR="007B7047">
        <w:rPr>
          <w:rFonts w:ascii="Times New Roman CYR" w:hAnsi="Times New Roman CYR" w:cs="Times New Roman CYR"/>
          <w:sz w:val="24"/>
          <w:szCs w:val="24"/>
          <w:u w:color="FF0000"/>
        </w:rPr>
        <w:t>,</w:t>
      </w:r>
      <w:r w:rsidRPr="007B7047">
        <w:rPr>
          <w:rFonts w:ascii="Times New Roman CYR" w:hAnsi="Times New Roman CYR" w:cs="Times New Roman CYR"/>
          <w:sz w:val="24"/>
          <w:szCs w:val="24"/>
          <w:u w:color="FF0000"/>
        </w:rPr>
        <w:t xml:space="preserve"> 19 спортивных залов, из которых 15 спортивных залов находятся при средних общеобразовательных школах и 4 при муниципальном бюджетном учреждении дополнительного образования «Спортивная школа» Эвенкийского муниципального района.</w:t>
      </w:r>
    </w:p>
    <w:p w:rsidR="007B4C9F" w:rsidRPr="007B7047" w:rsidRDefault="007B4C9F" w:rsidP="007B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7B7047">
        <w:rPr>
          <w:rFonts w:ascii="Times New Roman CYR" w:hAnsi="Times New Roman CYR" w:cs="Times New Roman CYR"/>
          <w:sz w:val="24"/>
          <w:szCs w:val="24"/>
          <w:u w:color="FF0000"/>
        </w:rPr>
        <w:tab/>
        <w:t>В 2024 году физической культурой и спортом на территории Эвенкийского муниципального района занималось 5896 человек, что составило 47,40 % доли от общего числа населения ЭМР (в возрасте от 3 до 79 лет), что на 2,08 % выше уровня 2023 года. Увеличение значения показателя обусловлено ростом числа проводимых спортивно – массовых мероприятий на территории Эвенкийского муниципального района, а также активным желанием вести здоровый образ жизни среди всех возрастных категорий и социальных групп населения.</w:t>
      </w:r>
    </w:p>
    <w:p w:rsidR="000A7F5E" w:rsidRDefault="000A7F5E" w:rsidP="00153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</w:p>
    <w:p w:rsidR="00290B68" w:rsidRDefault="00290B68" w:rsidP="00153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23.1. Доля </w:t>
      </w:r>
      <w:proofErr w:type="gramStart"/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обучающихся</w:t>
      </w:r>
      <w:proofErr w:type="gramEnd"/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, систематически занимающихся физической культурой и спортом, в общей численности обучающихся</w:t>
      </w:r>
    </w:p>
    <w:p w:rsidR="007B4C9F" w:rsidRPr="00CC53BC" w:rsidRDefault="007B4C9F" w:rsidP="00153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7B4C9F" w:rsidRPr="007B7047" w:rsidRDefault="007B4C9F" w:rsidP="007B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7B7047">
        <w:rPr>
          <w:rFonts w:ascii="Times New Roman CYR" w:hAnsi="Times New Roman CYR" w:cs="Times New Roman CYR"/>
          <w:sz w:val="24"/>
          <w:szCs w:val="24"/>
          <w:u w:color="FF0000"/>
        </w:rPr>
        <w:t xml:space="preserve">В 2024 году доля обучающихся, систематически занимающихся физической культурой и спортом, в общей численности обучающихся и студентов составила 100 %, что на 0,55% выше уровня 2023 г. (99,45%). Рост значения показателя обусловлен вводом в эксплуатацию новой спортивной площадки для игры в волейбол в селе Байкит и увеличением числа </w:t>
      </w:r>
      <w:proofErr w:type="gramStart"/>
      <w:r w:rsidRPr="007B7047">
        <w:rPr>
          <w:rFonts w:ascii="Times New Roman CYR" w:hAnsi="Times New Roman CYR" w:cs="Times New Roman CYR"/>
          <w:sz w:val="24"/>
          <w:szCs w:val="24"/>
          <w:u w:color="FF0000"/>
        </w:rPr>
        <w:t>занимающихся</w:t>
      </w:r>
      <w:proofErr w:type="gramEnd"/>
      <w:r w:rsidRPr="007B7047">
        <w:rPr>
          <w:rFonts w:ascii="Times New Roman CYR" w:hAnsi="Times New Roman CYR" w:cs="Times New Roman CYR"/>
          <w:sz w:val="24"/>
          <w:szCs w:val="24"/>
          <w:u w:color="FF0000"/>
        </w:rPr>
        <w:t xml:space="preserve"> физической культурой и спортом.</w:t>
      </w:r>
    </w:p>
    <w:p w:rsidR="005836AD" w:rsidRPr="00CC53BC" w:rsidRDefault="007B4C9F" w:rsidP="007B7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7B7047">
        <w:rPr>
          <w:rFonts w:ascii="Times New Roman CYR" w:hAnsi="Times New Roman CYR" w:cs="Times New Roman CYR"/>
          <w:sz w:val="24"/>
          <w:szCs w:val="24"/>
          <w:u w:color="FF0000"/>
        </w:rPr>
        <w:t>На прогнозный период до 2027 г. ожидается незначительное снижение показателя в связи с уменьшением численности населения в Эвенкийском ра</w:t>
      </w:r>
      <w:r w:rsidR="007B7047">
        <w:rPr>
          <w:rFonts w:ascii="Times New Roman CYR" w:hAnsi="Times New Roman CYR" w:cs="Times New Roman CYR"/>
          <w:sz w:val="24"/>
          <w:szCs w:val="24"/>
          <w:u w:color="FF0000"/>
        </w:rPr>
        <w:t>йоне в возрасте от 3 до 17 лет.</w:t>
      </w:r>
    </w:p>
    <w:p w:rsidR="00DD2D8D" w:rsidRDefault="00DD2D8D" w:rsidP="00153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</w:p>
    <w:p w:rsidR="00290B68" w:rsidRPr="00CC53BC" w:rsidRDefault="00290B68" w:rsidP="00153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VI. Жилищное строительство и обеспечение граждан жильем</w:t>
      </w:r>
    </w:p>
    <w:p w:rsidR="00290B68" w:rsidRPr="00CC53BC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Default="00290B68" w:rsidP="00153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 w:rsidRPr="00CC53B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24. Общая площадь жилых помещений, приходящаяся в среднем на одного жителя</w:t>
      </w:r>
    </w:p>
    <w:p w:rsidR="007129D9" w:rsidRPr="00CC53BC" w:rsidRDefault="007129D9" w:rsidP="00153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7129D9" w:rsidRDefault="007129D9" w:rsidP="007129D9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На момент формирования Доклада,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Красноярскстатом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представлены предварительные данные по общей площади жилых помещений на конец 2024 года (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согласно отчета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№ 1-жилфонд «Сведения о жилищном фонде»), которые по району составили 394,89 тыс.кв.м. и могут быть скорректированы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Красноярскстатом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впоследствии.</w:t>
      </w:r>
    </w:p>
    <w:p w:rsidR="007129D9" w:rsidRDefault="007129D9" w:rsidP="007129D9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По состоянию на 01.01.2025 года 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общая площадь жилых помещений, приходящаяся в среднем на одного жителя в 2024 году составила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30,08 кв.м., что на 0,89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 xml:space="preserve">кв.м. больше значения 2023 года. Это обусловлено снижением численности населения 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района.</w:t>
      </w:r>
    </w:p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В прогнозных 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периодах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ожидается незначительное увеличение показателя за счет строительства нового жилья в районе (с учетом тенденции снижения численности населения муниципального района), завершения уже строящихся объектов жилого назначения. </w:t>
      </w:r>
    </w:p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701"/>
        <w:gridCol w:w="1134"/>
        <w:gridCol w:w="1134"/>
        <w:gridCol w:w="1134"/>
        <w:gridCol w:w="1134"/>
        <w:gridCol w:w="1134"/>
      </w:tblGrid>
      <w:tr w:rsidR="007129D9" w:rsidTr="003E480B">
        <w:trPr>
          <w:trHeight w:val="316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Значения показателя</w:t>
            </w:r>
          </w:p>
        </w:tc>
      </w:tr>
      <w:tr w:rsidR="007129D9" w:rsidTr="003E480B">
        <w:trPr>
          <w:trHeight w:val="6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2023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2024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2025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2026 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2027 прогноз</w:t>
            </w:r>
          </w:p>
        </w:tc>
      </w:tr>
      <w:tr w:rsidR="007129D9" w:rsidTr="003E480B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1. Общая площадь жилых помещений, 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u w:color="FF0000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386 960,00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394 890,00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399 559,00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404 249,00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409 039,00</w:t>
            </w:r>
          </w:p>
        </w:tc>
      </w:tr>
      <w:tr w:rsidR="007129D9" w:rsidTr="003E480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2. Введено жилых помещений за отчетный период, 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5 680,00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4 669,00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4 790,00</w:t>
            </w:r>
          </w:p>
        </w:tc>
      </w:tr>
      <w:tr w:rsidR="007129D9" w:rsidTr="003E480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3. Выбыло жилых помещений за отчетный период, 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</w:t>
            </w:r>
          </w:p>
        </w:tc>
      </w:tr>
      <w:tr w:rsidR="007129D9" w:rsidTr="003E480B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</w:t>
            </w:r>
            <w:r w:rsidRPr="003E480B"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. Численность постоянного населения муниципального, городского округа (муниципального района) </w:t>
            </w:r>
            <w:r w:rsidRPr="003E480B">
              <w:rPr>
                <w:rFonts w:ascii="Times New Roman CYR" w:hAnsi="Times New Roman CYR" w:cs="Times New Roman CYR"/>
                <w:bCs/>
                <w:sz w:val="20"/>
                <w:szCs w:val="20"/>
                <w:u w:color="FF0000"/>
              </w:rPr>
              <w:t>на</w:t>
            </w:r>
            <w:r w:rsidRPr="003E480B"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</w:t>
            </w:r>
            <w:r w:rsidRPr="003E480B">
              <w:rPr>
                <w:rFonts w:ascii="Times New Roman CYR" w:hAnsi="Times New Roman CYR" w:cs="Times New Roman CYR"/>
                <w:bCs/>
                <w:sz w:val="20"/>
                <w:szCs w:val="20"/>
                <w:u w:color="FF0000"/>
              </w:rPr>
              <w:t>конец отчетного года</w:t>
            </w:r>
            <w:r w:rsidRPr="003E480B"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13 258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13 129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13 008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12 888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12 820</w:t>
            </w:r>
          </w:p>
        </w:tc>
      </w:tr>
      <w:tr w:rsidR="007129D9" w:rsidTr="003E480B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3E480B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color="FF0000"/>
              </w:rPr>
            </w:pPr>
            <w:r w:rsidRPr="003E480B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color="FF0000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3E480B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color="FF0000"/>
              </w:rPr>
            </w:pPr>
            <w:r w:rsidRPr="003E480B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color="FF0000"/>
              </w:rPr>
              <w:t>29,19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3E480B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color="FF0000"/>
              </w:rPr>
            </w:pPr>
            <w:r w:rsidRPr="003E480B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color="FF0000"/>
              </w:rPr>
              <w:t>30,08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3E480B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color="FF0000"/>
              </w:rPr>
            </w:pPr>
            <w:r w:rsidRPr="003E480B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color="FF0000"/>
              </w:rPr>
              <w:t>30,72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3E480B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color="FF0000"/>
              </w:rPr>
            </w:pPr>
            <w:r w:rsidRPr="003E480B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color="FF0000"/>
              </w:rPr>
              <w:t>31,37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3E480B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color="FF0000"/>
              </w:rPr>
            </w:pPr>
            <w:r w:rsidRPr="003E480B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u w:color="FF0000"/>
              </w:rPr>
              <w:t>31,91</w:t>
            </w:r>
          </w:p>
        </w:tc>
      </w:tr>
    </w:tbl>
    <w:p w:rsidR="00290B68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290B68" w:rsidRPr="00153F9F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153F9F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24.1. в том числе </w:t>
      </w:r>
      <w:proofErr w:type="gramStart"/>
      <w:r w:rsidRPr="00153F9F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введенная</w:t>
      </w:r>
      <w:proofErr w:type="gramEnd"/>
      <w:r w:rsidRPr="00153F9F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в действие за один год</w:t>
      </w:r>
    </w:p>
    <w:p w:rsidR="00054C99" w:rsidRDefault="00054C99" w:rsidP="00712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В 2024 году на территории поселений муниципального района за счет всех источников финансирования введено в эксплуатацию 41 объект жилого назначения, общей площадью 3 849  кв. м.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Общая площадь жилых помещений, приходящаяся в среднем на одного жителя, введенная в эксплуатацию за 2024 год составила 0,29 кв.м., что ниже показателя 2023 года (0,96 кв.м.).</w:t>
      </w:r>
    </w:p>
    <w:p w:rsidR="007129D9" w:rsidRDefault="007129D9" w:rsidP="007129D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В рамках подпрограммы «Социальное развитие села на территории Эвенкийского муниципального района» МП «Улучшение жилищных условий жителей Эвенкийского муниципального района», где доля средств районного бюджета составляет не более 65% и граждан не менее 35% от стоимости строительства жилья, на территории 2 сельских поселений (п. Ессей, п. Бурный) построено 9 жилых домов общей площадью 924,20 кв. м., из них введено 7 жилых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домов.</w:t>
      </w:r>
    </w:p>
    <w:p w:rsidR="007129D9" w:rsidRDefault="007129D9" w:rsidP="007129D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В рамках реализации муниципальных программ сельских поселений района «Устойчивое развитие муниципального образования» подпрограммы «Обеспечение проживающих в поселении и нуждающихся в жилых помещениях малоимущих граждан жилыми помещениями, организация строительства, капитальный ремонт жилищного фонда поселка» построен 1 жилой дом общей площадью 58,1 кв.м. в п. Полигус.</w:t>
      </w:r>
      <w:proofErr w:type="gramEnd"/>
    </w:p>
    <w:p w:rsidR="007129D9" w:rsidRDefault="007129D9" w:rsidP="007129D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В рамках подпрограммы «Поддержка лиц из числа коренных малочисленных народов и лиц, ведущих традиционный образ жизни» государственной программы «Сохранение и развитие традиционного образа жизни и хозяйственной деятельности коренных малочисленных народов Красноярского края», утвержденной Постановлением Правительства Красноярского края № 520-п от 30.09.2013 построено и введено 6 объектов жилого назначения общей площадью 376,70 кв.м. для граждан из числа КМНС на территории п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Эконда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– 2 дома, п.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Юкта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– 2 дома, п. Ессей – 2 дома.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На прогнозный период 2025 - 2027 годы многоквартирное строительство на территории района не планируется, в результате, общая площадь жилых помещений, введенная в действие за один год, приходящаяся в среднем на одного жителя составит на уровне 0,36 кв.м., 0,36 кв.м., 0,37 кв.м. соответственно по годам.</w:t>
      </w:r>
    </w:p>
    <w:p w:rsidR="007129D9" w:rsidRDefault="007129D9" w:rsidP="007129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4551"/>
        <w:gridCol w:w="993"/>
        <w:gridCol w:w="850"/>
        <w:gridCol w:w="992"/>
        <w:gridCol w:w="993"/>
        <w:gridCol w:w="992"/>
      </w:tblGrid>
      <w:tr w:rsidR="007129D9" w:rsidTr="005A6302">
        <w:trPr>
          <w:trHeight w:val="306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7129D9" w:rsidTr="005A6302">
        <w:trPr>
          <w:trHeight w:val="6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7129D9" w:rsidTr="005A630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Введено всего, 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, 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4 669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4 790</w:t>
            </w:r>
          </w:p>
        </w:tc>
      </w:tr>
      <w:tr w:rsidR="007129D9" w:rsidTr="005A630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1.1. индивидуальное жилищное строительство, 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5 158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4 669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4 790</w:t>
            </w:r>
          </w:p>
        </w:tc>
      </w:tr>
      <w:tr w:rsidR="007129D9" w:rsidTr="005A630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1.2. многоквартирное строительство, кв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7 566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</w:t>
            </w:r>
          </w:p>
        </w:tc>
      </w:tr>
      <w:tr w:rsidR="007129D9" w:rsidTr="005A6302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2. Среднегодовая численность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постоянного населения муниципального, городского округа (муниципального района),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13 285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13 193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13 069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12 854</w:t>
            </w:r>
          </w:p>
        </w:tc>
      </w:tr>
      <w:tr w:rsidR="007129D9" w:rsidTr="005A6302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3E480B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</w:pPr>
            <w:r w:rsidRPr="003E480B"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3E480B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</w:pPr>
            <w:r w:rsidRPr="003E480B"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  <w:t>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3E480B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</w:pPr>
            <w:r w:rsidRPr="003E480B"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  <w:t>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3E480B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</w:pPr>
            <w:r w:rsidRPr="003E480B"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3E480B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</w:pPr>
            <w:r w:rsidRPr="003E480B"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3E480B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</w:pPr>
            <w:r w:rsidRPr="003E480B"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  <w:t>0,37</w:t>
            </w:r>
          </w:p>
        </w:tc>
      </w:tr>
    </w:tbl>
    <w:p w:rsidR="00290B68" w:rsidRPr="00153F9F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F753CF" w:rsidRDefault="00290B68" w:rsidP="00153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 w:rsidRPr="00153F9F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25. Площадь земельных участков, предоставленных для строительства, в расчете на 10 тыс. человек населения, </w:t>
      </w:r>
    </w:p>
    <w:p w:rsidR="00290B68" w:rsidRPr="00153F9F" w:rsidRDefault="00290B68" w:rsidP="00153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153F9F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054C99" w:rsidRDefault="00054C9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7129D9" w:rsidRPr="003E480B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E480B">
        <w:rPr>
          <w:rFonts w:ascii="Times New Roman CYR" w:hAnsi="Times New Roman CYR" w:cs="Times New Roman CYR"/>
          <w:sz w:val="24"/>
          <w:szCs w:val="24"/>
          <w:u w:color="FF0000"/>
        </w:rPr>
        <w:t>Площадь земельных участков, предоставленных для строительства, в расчете на 10 тыс. человек населения за 2024 год составила 4,73  га,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– 4,33 га.</w:t>
      </w:r>
    </w:p>
    <w:p w:rsidR="007129D9" w:rsidRPr="003E480B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E480B">
        <w:rPr>
          <w:rFonts w:ascii="Times New Roman CYR" w:hAnsi="Times New Roman CYR" w:cs="Times New Roman CYR"/>
          <w:sz w:val="24"/>
          <w:szCs w:val="24"/>
          <w:u w:color="FF0000"/>
        </w:rPr>
        <w:t xml:space="preserve">В 2024 году предоставлено 54 земельных участка для жилищного строительства общей площадью 5,71 га. Для строительства </w:t>
      </w:r>
      <w:proofErr w:type="gramStart"/>
      <w:r w:rsidRPr="003E480B">
        <w:rPr>
          <w:rFonts w:ascii="Times New Roman CYR" w:hAnsi="Times New Roman CYR" w:cs="Times New Roman CYR"/>
          <w:sz w:val="24"/>
          <w:szCs w:val="24"/>
          <w:u w:color="FF0000"/>
        </w:rPr>
        <w:t>объектов, не являющихся объектами жилищного строительства предоставлено</w:t>
      </w:r>
      <w:proofErr w:type="gramEnd"/>
      <w:r w:rsidRPr="003E480B">
        <w:rPr>
          <w:rFonts w:ascii="Times New Roman CYR" w:hAnsi="Times New Roman CYR" w:cs="Times New Roman CYR"/>
          <w:sz w:val="24"/>
          <w:szCs w:val="24"/>
          <w:u w:color="FF0000"/>
        </w:rPr>
        <w:t xml:space="preserve"> 25 земельных участков площадью 0,53 га. </w:t>
      </w:r>
    </w:p>
    <w:p w:rsidR="007129D9" w:rsidRPr="003E480B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3E480B">
        <w:rPr>
          <w:rFonts w:ascii="Times New Roman CYR" w:hAnsi="Times New Roman CYR" w:cs="Times New Roman CYR"/>
          <w:sz w:val="24"/>
          <w:szCs w:val="24"/>
          <w:u w:color="FF0000"/>
        </w:rPr>
        <w:t>Так же земельные участки в 2024 году на территории Эвенкийского муниципального района не предоставлялись для комплексного освоения в целях жилищного строительства.</w:t>
      </w:r>
    </w:p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16"/>
          <w:szCs w:val="16"/>
          <w:u w:color="FF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96"/>
        <w:gridCol w:w="1366"/>
        <w:gridCol w:w="1252"/>
        <w:gridCol w:w="1016"/>
        <w:gridCol w:w="1103"/>
        <w:gridCol w:w="1059"/>
      </w:tblGrid>
      <w:tr w:rsidR="003E480B" w:rsidTr="005A6302"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80B" w:rsidRDefault="003E480B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0B" w:rsidRDefault="003E480B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Значения показателя</w:t>
            </w:r>
          </w:p>
        </w:tc>
      </w:tr>
      <w:tr w:rsidR="003E480B" w:rsidTr="005A6302">
        <w:tc>
          <w:tcPr>
            <w:tcW w:w="359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80B" w:rsidRDefault="003E480B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80B" w:rsidRDefault="003E480B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2023 </w:t>
            </w:r>
          </w:p>
          <w:p w:rsidR="003E480B" w:rsidRDefault="003E480B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факт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80B" w:rsidRDefault="003E480B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2024 </w:t>
            </w:r>
          </w:p>
          <w:p w:rsidR="003E480B" w:rsidRDefault="003E480B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факт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80B" w:rsidRDefault="003E480B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2025 оценка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80B" w:rsidRDefault="003E480B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2026 прогноз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480B" w:rsidRDefault="003E480B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2027 прогноз</w:t>
            </w:r>
          </w:p>
        </w:tc>
      </w:tr>
      <w:tr w:rsidR="007129D9" w:rsidTr="003E480B">
        <w:tc>
          <w:tcPr>
            <w:tcW w:w="3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1. Площадь земельных участков, предоставленных для строительства, 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га</w:t>
            </w:r>
            <w:proofErr w:type="gramEnd"/>
            <w:r>
              <w:rPr>
                <w:rFonts w:ascii="Times New Roman CYR" w:hAnsi="Times New Roman CYR" w:cs="Times New Roman CYR"/>
                <w:u w:color="FF0000"/>
              </w:rPr>
              <w:t>, всего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8,76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6,24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6,71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6,71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6,71</w:t>
            </w:r>
          </w:p>
        </w:tc>
      </w:tr>
      <w:tr w:rsidR="007129D9" w:rsidTr="003E480B">
        <w:trPr>
          <w:trHeight w:val="510"/>
        </w:trPr>
        <w:tc>
          <w:tcPr>
            <w:tcW w:w="3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1.1. для жилищного строительства (в т.ч. для ИЖС), 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5,89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5,71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5,71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  5,71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5,71</w:t>
            </w:r>
          </w:p>
        </w:tc>
      </w:tr>
      <w:tr w:rsidR="007129D9" w:rsidTr="003E480B">
        <w:tc>
          <w:tcPr>
            <w:tcW w:w="3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1.2. для комплексного освоения в целях жилищного строительства, 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га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0,00</w:t>
            </w:r>
          </w:p>
        </w:tc>
      </w:tr>
      <w:tr w:rsidR="007129D9" w:rsidTr="002F77B8">
        <w:tc>
          <w:tcPr>
            <w:tcW w:w="35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1.3. для строительства объектов, не являющихся объектами жилищного строительства, 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га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2,87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0,53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1,00</w:t>
            </w:r>
          </w:p>
        </w:tc>
      </w:tr>
      <w:tr w:rsidR="007129D9" w:rsidTr="002F77B8">
        <w:trPr>
          <w:trHeight w:val="105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lastRenderedPageBreak/>
              <w:t>2. Среднегодовая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13285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13193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13069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12948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12854</w:t>
            </w:r>
          </w:p>
        </w:tc>
      </w:tr>
      <w:tr w:rsidR="007129D9" w:rsidTr="002F77B8">
        <w:tc>
          <w:tcPr>
            <w:tcW w:w="3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3. Площадь земельных участков, предоставленных для строительства, в расчете на 10 тыс. человек населения - всего (стр. 1/стр.2*10000)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6,59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4,73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5,13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5,18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5,22</w:t>
            </w:r>
          </w:p>
        </w:tc>
      </w:tr>
      <w:tr w:rsidR="007129D9" w:rsidTr="002E30AC">
        <w:tc>
          <w:tcPr>
            <w:tcW w:w="3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4,43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4,33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4,37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4,41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4,44</w:t>
            </w:r>
          </w:p>
        </w:tc>
      </w:tr>
    </w:tbl>
    <w:p w:rsidR="00C94B67" w:rsidRDefault="00C94B67" w:rsidP="0084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</w:p>
    <w:p w:rsidR="00290B68" w:rsidRPr="00841567" w:rsidRDefault="00290B68" w:rsidP="0084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84156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290B68" w:rsidRPr="00841567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841567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84156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26.1. объектов жилищного строительства - в течение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3"/>
        <w:gridCol w:w="1484"/>
        <w:gridCol w:w="1417"/>
        <w:gridCol w:w="1985"/>
        <w:gridCol w:w="1418"/>
        <w:gridCol w:w="1110"/>
        <w:gridCol w:w="1441"/>
      </w:tblGrid>
      <w:tr w:rsidR="007129D9" w:rsidTr="005A6302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u w:color="FF000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u w:color="FF0000"/>
              </w:rPr>
              <w:t>п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Площадь земельного участка, кв.м.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Дата принятия решения о предоставлении земельного участка или подписания протокола о результатах торгов (конкурсов, аукционов)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Дата выдачи разрешения на строительство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Срок действия разрешения на строительство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Общая площадь жилищного строительства на предоставленном земельном участке, кв.м. (проектная)</w:t>
            </w:r>
          </w:p>
        </w:tc>
      </w:tr>
      <w:tr w:rsidR="007129D9" w:rsidTr="005A6302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</w:tr>
      <w:tr w:rsidR="007129D9" w:rsidTr="005A6302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</w:tr>
      <w:tr w:rsidR="007129D9" w:rsidTr="005A6302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</w:tr>
    </w:tbl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D3FE5" w:rsidRDefault="007129D9" w:rsidP="00DD2D8D">
      <w:pPr>
        <w:widowControl w:val="0"/>
        <w:autoSpaceDE w:val="0"/>
        <w:autoSpaceDN w:val="0"/>
        <w:adjustRightInd w:val="0"/>
        <w:spacing w:after="0" w:line="240" w:lineRule="auto"/>
        <w:ind w:left="140"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D3FE5">
        <w:rPr>
          <w:rFonts w:ascii="Times New Roman CYR" w:hAnsi="Times New Roman CYR" w:cs="Times New Roman CYR"/>
          <w:sz w:val="24"/>
          <w:szCs w:val="24"/>
          <w:u w:color="FF0000"/>
        </w:rPr>
        <w:t>В 2024 году на территории муниципального района площадь земельных участков, по которым выдано разрешение на строительство объектов жилищного строительства, и срок введения которых истек, отсутствует.</w:t>
      </w:r>
    </w:p>
    <w:p w:rsidR="00290B68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841567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84156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26.2. иных объектов капитального строительства - в течение 5 лет</w:t>
      </w:r>
    </w:p>
    <w:p w:rsidR="00290B68" w:rsidRPr="00841567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33"/>
        <w:gridCol w:w="1391"/>
        <w:gridCol w:w="2404"/>
        <w:gridCol w:w="1701"/>
        <w:gridCol w:w="1560"/>
      </w:tblGrid>
      <w:tr w:rsidR="00290B68" w:rsidTr="00A46D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u w:color="FF000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u w:color="FF0000"/>
              </w:rPr>
              <w:t>п</w:t>
            </w:r>
            <w:proofErr w:type="spellEnd"/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Площадь земельных участков, кв.м.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Дата принятия решения о предоставлении земельного участка или подписания протокола о результатах торгов (конкурсов, </w:t>
            </w:r>
            <w:r>
              <w:rPr>
                <w:rFonts w:ascii="Times New Roman CYR" w:hAnsi="Times New Roman CYR" w:cs="Times New Roman CYR"/>
                <w:u w:color="FF0000"/>
              </w:rPr>
              <w:lastRenderedPageBreak/>
              <w:t>аукционов)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lastRenderedPageBreak/>
              <w:t>Дата выдачи разрешения на строительство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Срок действия разрешения на строительство</w:t>
            </w:r>
          </w:p>
        </w:tc>
      </w:tr>
      <w:tr w:rsidR="00290B68" w:rsidTr="00A46D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1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</w:tr>
      <w:tr w:rsidR="00290B68" w:rsidTr="00A46D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</w:t>
            </w:r>
          </w:p>
        </w:tc>
      </w:tr>
      <w:tr w:rsidR="00290B68" w:rsidTr="00A46D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68" w:rsidRDefault="00290B68" w:rsidP="0093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</w:tr>
    </w:tbl>
    <w:p w:rsidR="00290B68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7129D9" w:rsidRPr="00CD3FE5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right="-92"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D3FE5">
        <w:rPr>
          <w:rFonts w:ascii="Times New Roman CYR" w:hAnsi="Times New Roman CYR" w:cs="Times New Roman CYR"/>
          <w:sz w:val="24"/>
          <w:szCs w:val="24"/>
          <w:u w:color="FF0000"/>
        </w:rPr>
        <w:t>В 2024 году на территории муниципального района земельные участки, по которым выдано разрешение на строительство объектов капитального строительства (кроме жилищного строительства), и срок введения которых истек, отсутствуют.</w:t>
      </w:r>
    </w:p>
    <w:p w:rsidR="00290B68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91004D" w:rsidRDefault="00290B68" w:rsidP="00910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91004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VII. Жилищно-коммунальное хозяйство</w:t>
      </w:r>
    </w:p>
    <w:p w:rsidR="00290B68" w:rsidRPr="0091004D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91004D" w:rsidRDefault="00290B68" w:rsidP="00910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91004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27. Доля многоквартирных домов, в которых собственники помещений </w:t>
      </w:r>
      <w:proofErr w:type="gramStart"/>
      <w:r w:rsidRPr="0091004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выбрали и реализуют</w:t>
      </w:r>
      <w:proofErr w:type="gramEnd"/>
      <w:r w:rsidRPr="0091004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CD3FE5" w:rsidRDefault="00CD3FE5" w:rsidP="0071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7129D9" w:rsidRPr="00CD3FE5" w:rsidRDefault="007129D9" w:rsidP="00DD2D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D3FE5">
        <w:rPr>
          <w:rFonts w:ascii="Times New Roman CYR" w:hAnsi="Times New Roman CYR" w:cs="Times New Roman CYR"/>
          <w:sz w:val="24"/>
          <w:szCs w:val="24"/>
          <w:u w:color="FF0000"/>
        </w:rPr>
        <w:t>Общее количество многоквартирных домов в районе по состоянию на 01.01.2025  года составляет 197 единиц. Управление многоквартирными домами (далее – МКД) осуществляется следующим образом:</w:t>
      </w:r>
    </w:p>
    <w:p w:rsidR="007129D9" w:rsidRPr="00CD3FE5" w:rsidRDefault="007129D9" w:rsidP="00DD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D3FE5">
        <w:rPr>
          <w:rFonts w:ascii="Times New Roman CYR" w:hAnsi="Times New Roman CYR" w:cs="Times New Roman CYR"/>
          <w:sz w:val="24"/>
          <w:szCs w:val="24"/>
          <w:u w:color="FF0000"/>
        </w:rPr>
        <w:t>31,47%</w:t>
      </w:r>
      <w:r w:rsidR="00CD3FE5"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 w:rsidRPr="00CD3FE5">
        <w:rPr>
          <w:rFonts w:ascii="Times New Roman CYR" w:hAnsi="Times New Roman CYR" w:cs="Times New Roman CYR"/>
          <w:sz w:val="24"/>
          <w:szCs w:val="24"/>
          <w:u w:color="FF0000"/>
        </w:rPr>
        <w:t>–МКД, где непосредственное управление осуществляется собственниками помещений.</w:t>
      </w:r>
    </w:p>
    <w:p w:rsidR="007129D9" w:rsidRDefault="007129D9" w:rsidP="00DD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CD3FE5">
        <w:rPr>
          <w:rFonts w:ascii="Times New Roman CYR" w:hAnsi="Times New Roman CYR" w:cs="Times New Roman CYR"/>
          <w:sz w:val="24"/>
          <w:szCs w:val="24"/>
          <w:u w:color="FF0000"/>
        </w:rPr>
        <w:t>Товарищества собственников жилья на территории района не созданы, хозяйственные общества с долей участия в уставном капитале субъекта Российской Федерации или муниципального района не более 25 процентов отсутствуют. По общим оценкам создание коммерческих управляющих компаний на территории района не выгодно по экономическим причинам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290B68" w:rsidRPr="0091004D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91004D" w:rsidRDefault="00290B68" w:rsidP="00BC6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91004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28. Доля организаций коммунального комплекса, осуществляющих производство товаров, оказание услуг по </w:t>
      </w:r>
      <w:proofErr w:type="spellStart"/>
      <w:r w:rsidRPr="0091004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водо</w:t>
      </w:r>
      <w:proofErr w:type="spellEnd"/>
      <w:r w:rsidRPr="0091004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-, тепл</w:t>
      </w:r>
      <w:proofErr w:type="gramStart"/>
      <w:r w:rsidRPr="0091004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о-</w:t>
      </w:r>
      <w:proofErr w:type="gramEnd"/>
      <w:r w:rsidRPr="0091004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, </w:t>
      </w:r>
      <w:proofErr w:type="spellStart"/>
      <w:r w:rsidRPr="0091004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газо</w:t>
      </w:r>
      <w:proofErr w:type="spellEnd"/>
      <w:r w:rsidRPr="0091004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</w:t>
      </w:r>
      <w:proofErr w:type="gramStart"/>
      <w:r w:rsidRPr="0091004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  <w:proofErr w:type="gramEnd"/>
    </w:p>
    <w:p w:rsidR="000574FB" w:rsidRDefault="000574FB" w:rsidP="0071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7129D9" w:rsidRPr="000574FB" w:rsidRDefault="007129D9" w:rsidP="0071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0574FB">
        <w:rPr>
          <w:rFonts w:ascii="Times New Roman CYR" w:hAnsi="Times New Roman CYR" w:cs="Times New Roman CYR"/>
          <w:sz w:val="24"/>
          <w:szCs w:val="24"/>
          <w:u w:color="FF0000"/>
        </w:rPr>
        <w:t>В 2024 году показатель в сравнении с 2023 годом не изменился, и составляет 25 %:</w:t>
      </w:r>
    </w:p>
    <w:p w:rsidR="007129D9" w:rsidRPr="000574FB" w:rsidRDefault="007129D9" w:rsidP="0071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0574FB">
        <w:rPr>
          <w:rFonts w:ascii="Times New Roman CYR" w:hAnsi="Times New Roman CYR" w:cs="Times New Roman CYR"/>
          <w:sz w:val="24"/>
          <w:szCs w:val="24"/>
          <w:u w:color="FF0000"/>
        </w:rPr>
        <w:t xml:space="preserve">-количество организаций коммунального комплекса, осуществляющих производство товаров, оказание услуг по </w:t>
      </w:r>
      <w:proofErr w:type="spellStart"/>
      <w:r w:rsidRPr="000574FB">
        <w:rPr>
          <w:rFonts w:ascii="Times New Roman CYR" w:hAnsi="Times New Roman CYR" w:cs="Times New Roman CYR"/>
          <w:sz w:val="24"/>
          <w:szCs w:val="24"/>
          <w:u w:color="FF0000"/>
        </w:rPr>
        <w:t>водо</w:t>
      </w:r>
      <w:proofErr w:type="spellEnd"/>
      <w:r w:rsidRPr="000574FB">
        <w:rPr>
          <w:rFonts w:ascii="Times New Roman CYR" w:hAnsi="Times New Roman CYR" w:cs="Times New Roman CYR"/>
          <w:sz w:val="24"/>
          <w:szCs w:val="24"/>
          <w:u w:color="FF0000"/>
        </w:rPr>
        <w:t>-, тепл</w:t>
      </w:r>
      <w:proofErr w:type="gramStart"/>
      <w:r w:rsidRPr="000574FB">
        <w:rPr>
          <w:rFonts w:ascii="Times New Roman CYR" w:hAnsi="Times New Roman CYR" w:cs="Times New Roman CYR"/>
          <w:sz w:val="24"/>
          <w:szCs w:val="24"/>
          <w:u w:color="FF0000"/>
        </w:rPr>
        <w:t>о-</w:t>
      </w:r>
      <w:proofErr w:type="gramEnd"/>
      <w:r w:rsidRPr="000574FB">
        <w:rPr>
          <w:rFonts w:ascii="Times New Roman CYR" w:hAnsi="Times New Roman CYR" w:cs="Times New Roman CYR"/>
          <w:sz w:val="24"/>
          <w:szCs w:val="24"/>
          <w:u w:color="FF0000"/>
        </w:rPr>
        <w:t xml:space="preserve">, </w:t>
      </w:r>
      <w:proofErr w:type="spellStart"/>
      <w:r w:rsidRPr="000574FB">
        <w:rPr>
          <w:rFonts w:ascii="Times New Roman CYR" w:hAnsi="Times New Roman CYR" w:cs="Times New Roman CYR"/>
          <w:sz w:val="24"/>
          <w:szCs w:val="24"/>
          <w:u w:color="FF0000"/>
        </w:rPr>
        <w:t>газо</w:t>
      </w:r>
      <w:proofErr w:type="spellEnd"/>
      <w:r w:rsidRPr="000574FB">
        <w:rPr>
          <w:rFonts w:ascii="Times New Roman CYR" w:hAnsi="Times New Roman CYR" w:cs="Times New Roman CYR"/>
          <w:sz w:val="24"/>
          <w:szCs w:val="24"/>
          <w:u w:color="FF0000"/>
        </w:rPr>
        <w:t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муниципального района в уставном капитале которых составляет не более 25 процентов – 1 ед.;</w:t>
      </w:r>
    </w:p>
    <w:p w:rsidR="007129D9" w:rsidRPr="000574FB" w:rsidRDefault="007129D9" w:rsidP="0071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gramStart"/>
      <w:r w:rsidRPr="000574FB">
        <w:rPr>
          <w:rFonts w:ascii="Times New Roman CYR" w:hAnsi="Times New Roman CYR" w:cs="Times New Roman CYR"/>
          <w:sz w:val="24"/>
          <w:szCs w:val="24"/>
          <w:u w:color="FF0000"/>
        </w:rPr>
        <w:t xml:space="preserve">-общее число организаций коммунального комплекса, осуществляющих свою деятельность на территории Эвенкийского муниципального района – 4 ед. </w:t>
      </w:r>
      <w:proofErr w:type="gramEnd"/>
    </w:p>
    <w:p w:rsidR="00290B68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A4710" w:rsidRDefault="009A4710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A4710" w:rsidRDefault="009A4710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A4710" w:rsidRDefault="009A4710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A4710" w:rsidRPr="0091004D" w:rsidRDefault="009A4710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054C99" w:rsidRDefault="00290B68" w:rsidP="00BC6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054C99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lastRenderedPageBreak/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4745C2" w:rsidRPr="00054C99" w:rsidRDefault="004745C2" w:rsidP="0071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7129D9" w:rsidRPr="00054C99" w:rsidRDefault="007129D9" w:rsidP="0071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054C99">
        <w:rPr>
          <w:rFonts w:ascii="Times New Roman CYR" w:hAnsi="Times New Roman CYR" w:cs="Times New Roman CYR"/>
          <w:sz w:val="24"/>
          <w:szCs w:val="24"/>
          <w:u w:color="FF0000"/>
        </w:rPr>
        <w:t>В 2024 году доля многоквартирных домов, расположенных на земельных участках, в отношении которых осуществлен государственный кадастровый учет составила 58,38 %.</w:t>
      </w:r>
    </w:p>
    <w:p w:rsidR="007129D9" w:rsidRPr="00054C9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054C99">
        <w:rPr>
          <w:rFonts w:ascii="Times New Roman CYR" w:hAnsi="Times New Roman CYR" w:cs="Times New Roman CYR"/>
          <w:sz w:val="24"/>
          <w:szCs w:val="24"/>
          <w:u w:color="FF0000"/>
        </w:rPr>
        <w:t xml:space="preserve">Общее число многоквартирных домов по состоянию на конец отчетного периода </w:t>
      </w:r>
      <w:r w:rsidRPr="00054C99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(по данным статистического отчета 1-жилфонд</w:t>
      </w:r>
      <w:r w:rsidRPr="00054C99">
        <w:rPr>
          <w:rFonts w:ascii="Times New Roman CYR" w:hAnsi="Times New Roman CYR" w:cs="Times New Roman CYR"/>
          <w:sz w:val="24"/>
          <w:szCs w:val="24"/>
          <w:u w:color="FF0000"/>
        </w:rPr>
        <w:t xml:space="preserve">) составило 197 единиц. Уменьшение показателя произошло по причине исключения двух аварийных многоквартирных жилых домов поселка Тура в связи с их расселением и отключением от инженерных систем. </w:t>
      </w:r>
    </w:p>
    <w:p w:rsidR="007129D9" w:rsidRPr="00054C9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054C99">
        <w:rPr>
          <w:rFonts w:ascii="Times New Roman CYR" w:hAnsi="Times New Roman CYR" w:cs="Times New Roman CYR"/>
          <w:sz w:val="24"/>
          <w:szCs w:val="24"/>
          <w:u w:color="FF0000"/>
        </w:rPr>
        <w:t>На период 2025-2027 годы планируется сохранение значения показателя на прежнем уровне 58,38 %.</w:t>
      </w:r>
    </w:p>
    <w:p w:rsidR="007129D9" w:rsidRPr="00054C9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5"/>
        <w:gridCol w:w="837"/>
        <w:gridCol w:w="876"/>
        <w:gridCol w:w="1011"/>
        <w:gridCol w:w="1013"/>
        <w:gridCol w:w="1222"/>
      </w:tblGrid>
      <w:tr w:rsidR="007129D9" w:rsidTr="004745C2">
        <w:trPr>
          <w:trHeight w:val="299"/>
        </w:trPr>
        <w:tc>
          <w:tcPr>
            <w:tcW w:w="45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Значения показателя</w:t>
            </w:r>
          </w:p>
        </w:tc>
      </w:tr>
      <w:tr w:rsidR="007129D9" w:rsidTr="007D41D9">
        <w:trPr>
          <w:trHeight w:val="471"/>
        </w:trPr>
        <w:tc>
          <w:tcPr>
            <w:tcW w:w="45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2023 факт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2024 факт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2025 прогноз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2026 прогноз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7D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2027 прогноз</w:t>
            </w:r>
          </w:p>
        </w:tc>
      </w:tr>
      <w:tr w:rsidR="007129D9" w:rsidTr="004745C2">
        <w:trPr>
          <w:trHeight w:val="899"/>
        </w:trPr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115</w:t>
            </w:r>
          </w:p>
        </w:tc>
      </w:tr>
      <w:tr w:rsidR="007129D9" w:rsidTr="004745C2">
        <w:trPr>
          <w:trHeight w:val="1198"/>
        </w:trPr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2. Общее число многоквартирных домов по состоянию на конец отчетного периода, единиц </w:t>
            </w:r>
            <w:r>
              <w:rPr>
                <w:rFonts w:ascii="Times New Roman CYR" w:hAnsi="Times New Roman CYR" w:cs="Times New Roman CYR"/>
                <w:i/>
                <w:iCs/>
                <w:u w:color="FF0000"/>
              </w:rPr>
              <w:t>(по данным статистического отчета 1-жилфонд строка 01 графа 6)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197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197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197</w:t>
            </w:r>
          </w:p>
        </w:tc>
      </w:tr>
      <w:tr w:rsidR="007129D9" w:rsidTr="004745C2">
        <w:trPr>
          <w:trHeight w:val="1270"/>
        </w:trPr>
        <w:tc>
          <w:tcPr>
            <w:tcW w:w="4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58,79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58,38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58,38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58,38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58,38</w:t>
            </w:r>
          </w:p>
        </w:tc>
      </w:tr>
    </w:tbl>
    <w:p w:rsidR="00290B68" w:rsidRPr="0091004D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7A3495" w:rsidRDefault="00290B68" w:rsidP="00BC6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BC6BC0">
        <w:rPr>
          <w:rFonts w:ascii="Times New Roman CYR" w:hAnsi="Times New Roman CYR" w:cs="Times New Roman CYR"/>
          <w:b/>
          <w:bCs/>
          <w:color w:val="000000"/>
          <w:u w:color="FF0000"/>
        </w:rPr>
        <w:t xml:space="preserve">30. </w:t>
      </w:r>
      <w:proofErr w:type="gramStart"/>
      <w:r w:rsidRPr="007A3495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0E0816" w:rsidRDefault="000E0816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7129D9" w:rsidRPr="000E0816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0E0816">
        <w:rPr>
          <w:rFonts w:ascii="Times New Roman CYR" w:hAnsi="Times New Roman CYR" w:cs="Times New Roman CYR"/>
          <w:sz w:val="24"/>
          <w:szCs w:val="24"/>
          <w:u w:color="FF0000"/>
        </w:rPr>
        <w:t>В 2024 году 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помещениях, составила 5,85 %.</w:t>
      </w:r>
    </w:p>
    <w:p w:rsidR="007129D9" w:rsidRPr="000E0816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gramStart"/>
      <w:r w:rsidRPr="000E0816">
        <w:rPr>
          <w:rFonts w:ascii="Times New Roman CYR" w:hAnsi="Times New Roman CYR" w:cs="Times New Roman CYR"/>
          <w:sz w:val="24"/>
          <w:szCs w:val="24"/>
          <w:u w:color="FF0000"/>
        </w:rPr>
        <w:t>Предоставление жилых помещений по договорам социального найма обусловлено: передачей жилья нуждающимся по переезду из аварийного жилья, пополнением муниципального жилого фонда за счет строительства нового жилья и приобретения за счет средств бюджета поселков, а также за счет освобождающихся жилых помещений по разным видам причин (улучшения жилищных условий за счет участия в других программах, выезд нанимателей, миграция населения из небольших населенных пунктов</w:t>
      </w:r>
      <w:proofErr w:type="gramEnd"/>
      <w:r w:rsidRPr="000E0816">
        <w:rPr>
          <w:rFonts w:ascii="Times New Roman CYR" w:hAnsi="Times New Roman CYR" w:cs="Times New Roman CYR"/>
          <w:sz w:val="24"/>
          <w:szCs w:val="24"/>
          <w:u w:color="FF0000"/>
        </w:rPr>
        <w:t xml:space="preserve"> в более </w:t>
      </w:r>
      <w:proofErr w:type="gramStart"/>
      <w:r w:rsidRPr="000E0816">
        <w:rPr>
          <w:rFonts w:ascii="Times New Roman CYR" w:hAnsi="Times New Roman CYR" w:cs="Times New Roman CYR"/>
          <w:sz w:val="24"/>
          <w:szCs w:val="24"/>
          <w:u w:color="FF0000"/>
        </w:rPr>
        <w:t>крупные</w:t>
      </w:r>
      <w:proofErr w:type="gramEnd"/>
      <w:r w:rsidRPr="000E0816">
        <w:rPr>
          <w:rFonts w:ascii="Times New Roman CYR" w:hAnsi="Times New Roman CYR" w:cs="Times New Roman CYR"/>
          <w:sz w:val="24"/>
          <w:szCs w:val="24"/>
          <w:u w:color="FF0000"/>
        </w:rPr>
        <w:t>, смерть одиноко проживающих граждан и др.).</w:t>
      </w:r>
    </w:p>
    <w:p w:rsidR="007129D9" w:rsidRPr="000E0816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0E0816">
        <w:rPr>
          <w:rFonts w:ascii="Times New Roman CYR" w:hAnsi="Times New Roman CYR" w:cs="Times New Roman CYR"/>
          <w:sz w:val="24"/>
          <w:szCs w:val="24"/>
          <w:u w:color="FF0000"/>
        </w:rPr>
        <w:t xml:space="preserve">В 2024 году 20 семей в поселениях муниципального района получили жилые помещения, и улучшили жилищные условия по договорам социального найма, из числа состоявших на учете в качестве нуждающихся в жилых помещениях. Всего количество </w:t>
      </w:r>
      <w:proofErr w:type="gramStart"/>
      <w:r w:rsidRPr="000E0816">
        <w:rPr>
          <w:rFonts w:ascii="Times New Roman CYR" w:hAnsi="Times New Roman CYR" w:cs="Times New Roman CYR"/>
          <w:sz w:val="24"/>
          <w:szCs w:val="24"/>
          <w:u w:color="FF0000"/>
        </w:rPr>
        <w:t>семей, получивших жилое помещение и улучшивших жилищные условия по договорам социального найма по району за 2024 год составило</w:t>
      </w:r>
      <w:proofErr w:type="gramEnd"/>
      <w:r w:rsidRPr="000E0816">
        <w:rPr>
          <w:rFonts w:ascii="Times New Roman CYR" w:hAnsi="Times New Roman CYR" w:cs="Times New Roman CYR"/>
          <w:sz w:val="24"/>
          <w:szCs w:val="24"/>
          <w:u w:color="FF0000"/>
        </w:rPr>
        <w:t xml:space="preserve"> 21.</w:t>
      </w:r>
    </w:p>
    <w:p w:rsidR="007129D9" w:rsidRPr="000E0816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gramStart"/>
      <w:r w:rsidRPr="000E0816">
        <w:rPr>
          <w:rFonts w:ascii="Times New Roman CYR" w:hAnsi="Times New Roman CYR" w:cs="Times New Roman CYR"/>
          <w:sz w:val="24"/>
          <w:szCs w:val="24"/>
          <w:u w:color="FF0000"/>
        </w:rPr>
        <w:t xml:space="preserve">В оценочном и прогнозируемом периодах доля населения, получившего жилые помещения и улучшившего жилищные условия, в общей численности населения, </w:t>
      </w:r>
      <w:r w:rsidRPr="000E0816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состоящего на учете в качестве нуждающегося в жилых помещениях, ожидается на уровне 6,83 % до 2027 года.</w:t>
      </w:r>
      <w:proofErr w:type="gramEnd"/>
    </w:p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70C0"/>
          <w:u w:color="FF0000"/>
        </w:rPr>
      </w:pPr>
    </w:p>
    <w:tbl>
      <w:tblPr>
        <w:tblW w:w="0" w:type="auto"/>
        <w:tblInd w:w="94" w:type="dxa"/>
        <w:tblLayout w:type="fixed"/>
        <w:tblLook w:val="0000"/>
      </w:tblPr>
      <w:tblGrid>
        <w:gridCol w:w="4550"/>
        <w:gridCol w:w="940"/>
        <w:gridCol w:w="940"/>
        <w:gridCol w:w="940"/>
        <w:gridCol w:w="959"/>
        <w:gridCol w:w="1080"/>
      </w:tblGrid>
      <w:tr w:rsidR="007129D9" w:rsidTr="005A6302">
        <w:trPr>
          <w:trHeight w:val="300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7129D9" w:rsidTr="005A6302">
        <w:trPr>
          <w:trHeight w:val="600"/>
        </w:trPr>
        <w:tc>
          <w:tcPr>
            <w:tcW w:w="4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 прогноз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 прогноз</w:t>
            </w:r>
          </w:p>
        </w:tc>
      </w:tr>
      <w:tr w:rsidR="007129D9" w:rsidTr="005A6302">
        <w:trPr>
          <w:trHeight w:val="15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Численность населения (семей), получившего жилые помещения и улучшившего жилищные условия по договору социального найма в отчетном году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  <w:t>(по данным статистического отчета 4-соцнайм графа 3 строка 01 минус строка 02)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22</w:t>
            </w:r>
          </w:p>
        </w:tc>
      </w:tr>
      <w:tr w:rsidR="007129D9" w:rsidTr="005A6302">
        <w:trPr>
          <w:trHeight w:val="118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0E0816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0E0816"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 w:rsidRPr="000E0816"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  <w:t>по договорам социального найма на конец прошлого года</w:t>
            </w:r>
            <w:r w:rsidRPr="000E0816"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 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0E0816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 w:rsidRPr="000E0816">
              <w:rPr>
                <w:rFonts w:ascii="Times New Roman CYR" w:hAnsi="Times New Roman CYR" w:cs="Times New Roman CYR"/>
                <w:color w:val="000000"/>
                <w:u w:color="FF0000"/>
              </w:rPr>
              <w:t>396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0E0816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0E0816">
              <w:rPr>
                <w:rFonts w:ascii="Times New Roman CYR" w:hAnsi="Times New Roman CYR" w:cs="Times New Roman CYR"/>
                <w:u w:color="FF0000"/>
              </w:rP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0E0816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0E0816">
              <w:rPr>
                <w:rFonts w:ascii="Times New Roman CYR" w:hAnsi="Times New Roman CYR" w:cs="Times New Roman CYR"/>
                <w:u w:color="FF0000"/>
              </w:rPr>
              <w:t>322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0E0816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0E0816">
              <w:rPr>
                <w:rFonts w:ascii="Times New Roman CYR" w:hAnsi="Times New Roman CYR" w:cs="Times New Roman CYR"/>
                <w:u w:color="FF0000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0E0816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0E0816">
              <w:rPr>
                <w:rFonts w:ascii="Times New Roman CYR" w:hAnsi="Times New Roman CYR" w:cs="Times New Roman CYR"/>
                <w:u w:color="FF0000"/>
              </w:rPr>
              <w:t>322</w:t>
            </w:r>
          </w:p>
        </w:tc>
      </w:tr>
      <w:tr w:rsidR="007129D9" w:rsidTr="005A6302">
        <w:trPr>
          <w:trHeight w:val="1523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0E0816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</w:pPr>
            <w:r w:rsidRPr="000E0816"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  <w:t xml:space="preserve">3. </w:t>
            </w:r>
            <w:proofErr w:type="gramStart"/>
            <w:r w:rsidRPr="000E0816"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0E0816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</w:pPr>
            <w:r w:rsidRPr="000E0816"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  <w:t>7,83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0E0816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</w:pPr>
            <w:r w:rsidRPr="000E0816"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  <w:t>5,85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0E0816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</w:pPr>
            <w:r w:rsidRPr="000E0816"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  <w:t>6,83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0E0816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</w:pPr>
            <w:r w:rsidRPr="000E0816"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  <w:t>6,83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Pr="000E0816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</w:pPr>
            <w:r w:rsidRPr="000E0816">
              <w:rPr>
                <w:rFonts w:ascii="Times New Roman CYR" w:hAnsi="Times New Roman CYR" w:cs="Times New Roman CYR"/>
                <w:bCs/>
                <w:color w:val="000000"/>
                <w:u w:color="FF0000"/>
              </w:rPr>
              <w:t>6,83</w:t>
            </w:r>
          </w:p>
        </w:tc>
      </w:tr>
      <w:tr w:rsidR="007129D9" w:rsidTr="005A6302">
        <w:trPr>
          <w:trHeight w:val="855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* в графе за 2022 год указываете численность населения (семей), состоящих на учете на конец 2021 года; в графе за 2023 год – на конец 2022 года; в графе за 2024 год – на конец 2023 года; в графе за 2025 год – планируемая на конец 2024 года; в графе за 2026 год – планируемая на конец 2025 года.</w:t>
            </w:r>
            <w:proofErr w:type="gramEnd"/>
          </w:p>
        </w:tc>
      </w:tr>
    </w:tbl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u w:color="FF0000"/>
        </w:rPr>
      </w:pP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gramStart"/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 xml:space="preserve">В отчетном году на территории района осуществлялось строительство жилых помещений по краевым и муниципальным программам, из них: </w:t>
      </w:r>
      <w:proofErr w:type="gramEnd"/>
    </w:p>
    <w:p w:rsidR="007129D9" w:rsidRPr="001F4EFF" w:rsidRDefault="001F4EFF" w:rsidP="007129D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ab/>
      </w:r>
      <w:proofErr w:type="gramStart"/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 xml:space="preserve">В </w:t>
      </w:r>
      <w:r w:rsidR="007129D9" w:rsidRPr="001F4EFF">
        <w:rPr>
          <w:rFonts w:ascii="Times New Roman CYR" w:hAnsi="Times New Roman CYR" w:cs="Times New Roman CYR"/>
          <w:sz w:val="24"/>
          <w:szCs w:val="24"/>
          <w:u w:color="FF0000"/>
        </w:rPr>
        <w:t>рамках муниципальных программ сельских поселений района  «Устойчивое развитие муниципального образования» подпрограммы «Обеспечение проживающих в поселении и нуждающихся в жилых помещениях малоимущих граждан жилыми помещениями, организация строительства, капитальный ремонт жилищного фонда поселка» построен 1 жилой дом общей площадью 58,1 кв.м. в п. Полигус.</w:t>
      </w:r>
      <w:proofErr w:type="gramEnd"/>
      <w:r w:rsidR="007129D9" w:rsidRPr="001F4EFF">
        <w:rPr>
          <w:rFonts w:ascii="Times New Roman CYR" w:hAnsi="Times New Roman CYR" w:cs="Times New Roman CYR"/>
          <w:sz w:val="24"/>
          <w:szCs w:val="24"/>
          <w:u w:color="FF0000"/>
        </w:rPr>
        <w:t xml:space="preserve"> Оплата производится в 2 этапа, 1 этап в 2024 году, 2 этап в 2025 году.</w:t>
      </w:r>
    </w:p>
    <w:p w:rsidR="007129D9" w:rsidRPr="001F4EFF" w:rsidRDefault="007129D9" w:rsidP="007129D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ab/>
      </w:r>
      <w:proofErr w:type="gramStart"/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В рамках подпрограммы «Поддержка лиц из числа коренных малочисленных народов и лиц, ведущих традиционный образ жизни» государственной программы «Сохранение и развитие традиционного образа жизни и хозяйственной деятельности коренных малочисленных народов Красноярского края», утвержденной Постановлением Правительства Красноярского края № 520-п от 30.09.2013 построено и введено 6 объектов жилого назначения общей площадью 376,70 кв.м. для граждан из числа КМНС на территории п</w:t>
      </w:r>
      <w:proofErr w:type="gramEnd"/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 xml:space="preserve">. </w:t>
      </w:r>
      <w:proofErr w:type="spellStart"/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Эконда</w:t>
      </w:r>
      <w:proofErr w:type="spellEnd"/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 xml:space="preserve"> – 2 дома, п. </w:t>
      </w:r>
      <w:proofErr w:type="spellStart"/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Юкта</w:t>
      </w:r>
      <w:proofErr w:type="spellEnd"/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 xml:space="preserve"> – 2 дома, п. Ессей – 2 дома.</w:t>
      </w:r>
    </w:p>
    <w:p w:rsidR="007129D9" w:rsidRPr="001F4EFF" w:rsidRDefault="007129D9" w:rsidP="007129D9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ab/>
      </w:r>
      <w:proofErr w:type="gramStart"/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В рамках подпрограммы «Социальное развитие села на территории Эвенкийского муниципального района» МП «Улучшение жилищных условий жителей Эвенкийского муниципального района», где доля средств районного бюджета составляет не более 65% и граждан не менее 35% от стоимости строительства жилья, на территории 2 сельских поселений (п. Ессей</w:t>
      </w:r>
      <w:r w:rsidR="001F4EFF">
        <w:rPr>
          <w:rFonts w:ascii="Times New Roman CYR" w:hAnsi="Times New Roman CYR" w:cs="Times New Roman CYR"/>
          <w:sz w:val="24"/>
          <w:szCs w:val="24"/>
          <w:u w:color="FF0000"/>
        </w:rPr>
        <w:t xml:space="preserve">, </w:t>
      </w: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п. Бурный) построено 9 жилых домов общей площадью 924,20 кв. м., из них введено 7 жилых</w:t>
      </w:r>
      <w:proofErr w:type="gramEnd"/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 xml:space="preserve"> домов.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bCs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Обоснование</w:t>
      </w:r>
      <w:r w:rsidRPr="001F4EFF">
        <w:rPr>
          <w:rFonts w:ascii="Calibri" w:hAnsi="Calibri" w:cs="Calibri"/>
          <w:b/>
          <w:bCs/>
          <w:sz w:val="24"/>
          <w:szCs w:val="24"/>
          <w:u w:color="FF0000"/>
        </w:rPr>
        <w:t xml:space="preserve"> </w:t>
      </w:r>
      <w:r w:rsidRPr="001F4EFF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низких</w:t>
      </w:r>
      <w:r w:rsidRPr="001F4EFF">
        <w:rPr>
          <w:rFonts w:ascii="Calibri" w:hAnsi="Calibri" w:cs="Calibri"/>
          <w:b/>
          <w:bCs/>
          <w:sz w:val="24"/>
          <w:szCs w:val="24"/>
          <w:u w:color="FF0000"/>
        </w:rPr>
        <w:t xml:space="preserve"> </w:t>
      </w:r>
      <w:r w:rsidRPr="001F4EFF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значений</w:t>
      </w:r>
      <w:r w:rsidRPr="001F4EFF">
        <w:rPr>
          <w:rFonts w:ascii="Calibri" w:hAnsi="Calibri" w:cs="Calibri"/>
          <w:b/>
          <w:bCs/>
          <w:sz w:val="24"/>
          <w:szCs w:val="24"/>
          <w:u w:color="FF0000"/>
        </w:rPr>
        <w:t xml:space="preserve"> </w:t>
      </w:r>
      <w:r w:rsidRPr="001F4EFF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показателей</w:t>
      </w:r>
      <w:r w:rsidRPr="001F4EFF">
        <w:rPr>
          <w:rFonts w:ascii="Calibri" w:hAnsi="Calibri" w:cs="Calibri"/>
          <w:b/>
          <w:bCs/>
          <w:sz w:val="24"/>
          <w:szCs w:val="24"/>
          <w:u w:color="FF0000"/>
        </w:rPr>
        <w:t>: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Низкие значения показателей в части предоставления жилых помещений по договорам социального найма обусловлены недостаточностью жилого фонда в муниципальных образованиях для удовлетворения нуждающихся граждан.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Жилищный фонд социального использования пополняется первичным рынком за счет строительства нового жилья, который характеризуется низкими значениями в части: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 xml:space="preserve">- низкий уровень собственных доходов в муниципальных образованиях не позволяет полномасштабно исполнять законодательно закрепленные полномочия муниципалитетов и направить средства только на строительство жилья. 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Жилищный фонд социального использования пополняется вторичным рынком за счет освобождающихся жилых помещений, который характеризуется низкими значениями в части: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- высокий уровень износа жилого фонда;</w:t>
      </w:r>
    </w:p>
    <w:p w:rsidR="007129D9" w:rsidRPr="001F4EFF" w:rsidRDefault="007129D9" w:rsidP="007129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-освобождение квартир (выезд нанимателей, смерть одиноко проживающих граждан и т.д.);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- необходимость вне очереди и первоочередного предоставления жилых помещений пострадавших при ЧС (пожары, наводнения);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- расселение из аварийных и ветхих домов.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Принимаемые и планируемые органами местного самоуправления меры по улучшению значений показателей: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- капитальный ремонт муниципального жилищного фонда за счет средств из местного бюджета;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- привлечение инвестиций из бюджетов вышестоящего уровня на строительство нового жилья;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- работа с гражданами по их участию в региональных и муниципальных программах.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Проблемными вопросами являются: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- недостаточно средств на строительство и капитальный ремонт жилищного фонда в муниципальных образованиях;</w:t>
      </w:r>
    </w:p>
    <w:p w:rsidR="007129D9" w:rsidRPr="001F4EFF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 xml:space="preserve">- низкий уровень доходов населения не позволяет активно участвовать в региональных и муниципальных программах по строительству жилья на условиях </w:t>
      </w:r>
      <w:proofErr w:type="spellStart"/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софинансирования</w:t>
      </w:r>
      <w:proofErr w:type="spellEnd"/>
      <w:r w:rsidRPr="001F4EFF">
        <w:rPr>
          <w:rFonts w:ascii="Times New Roman CYR" w:hAnsi="Times New Roman CYR" w:cs="Times New Roman CYR"/>
          <w:sz w:val="24"/>
          <w:szCs w:val="24"/>
          <w:u w:color="FF0000"/>
        </w:rPr>
        <w:t>, а так же самостоятельно строить собственное жилье.</w:t>
      </w:r>
    </w:p>
    <w:p w:rsidR="00290B68" w:rsidRPr="001F4EFF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BC6BC0" w:rsidRDefault="00290B68" w:rsidP="00BC6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BC6BC0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VIII. Организация муниципального управления</w:t>
      </w:r>
    </w:p>
    <w:p w:rsidR="00290B68" w:rsidRPr="00BC6BC0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u w:color="FF0000"/>
        </w:rPr>
      </w:pPr>
    </w:p>
    <w:p w:rsidR="00290B68" w:rsidRPr="008465DD" w:rsidRDefault="00290B68" w:rsidP="00BC6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BC6BC0">
        <w:rPr>
          <w:rFonts w:ascii="Times New Roman CYR" w:hAnsi="Times New Roman CYR" w:cs="Times New Roman CYR"/>
          <w:b/>
          <w:bCs/>
          <w:color w:val="000000"/>
          <w:u w:color="FF0000"/>
        </w:rPr>
        <w:t xml:space="preserve">31. </w:t>
      </w:r>
      <w:r w:rsidRPr="008465D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Доходы консолидированного бюджета</w:t>
      </w:r>
    </w:p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03"/>
        <w:gridCol w:w="1640"/>
        <w:gridCol w:w="1546"/>
        <w:gridCol w:w="1546"/>
        <w:gridCol w:w="1537"/>
      </w:tblGrid>
      <w:tr w:rsidR="007129D9" w:rsidTr="00DD2D8D">
        <w:trPr>
          <w:trHeight w:val="309"/>
        </w:trPr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DD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DD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DD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DD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DD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2027</w:t>
            </w:r>
          </w:p>
        </w:tc>
      </w:tr>
      <w:tr w:rsidR="007129D9" w:rsidTr="005A6302"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940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Доходы всего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9 655 765,3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10 529 186,5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10 992 470,7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11 432 169,5</w:t>
            </w:r>
          </w:p>
        </w:tc>
      </w:tr>
      <w:tr w:rsidR="007129D9" w:rsidTr="005A6302"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940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Налоговые и неналоговые доходы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1 421 779,7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1 743 043,3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94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1 821 011,4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1 949 860,7</w:t>
            </w:r>
          </w:p>
        </w:tc>
      </w:tr>
      <w:tr w:rsidR="007129D9" w:rsidTr="005A6302"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940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Собственные доходы (без учета субвенций)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5 055 407,0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5 896 659,7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6 156 112,7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6 402 357,2</w:t>
            </w:r>
          </w:p>
        </w:tc>
      </w:tr>
    </w:tbl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субвенций): с 2024 года соответственно 28,12%; 29,56%; 29,58%, 30,45%. Рост собственных доходов консолидированного бюджета планируется за счет увеличения поступлений от налога на прибыль организаций, налога на доходы физических лиц и платежей при пользовании природными ресурсами.</w:t>
      </w:r>
    </w:p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Прогноз доходов бюджета Эвенкийского муниципального района на 2024-2027 годы составлен на основе итогов социально-экономического развития Эвенкийского муниципального района за 2024 год.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При определении прогноза доходов бюджета учтены основные направления политики в области доходов, большое внимание уделяется повышению качества администрирования доходов бюджета.</w:t>
      </w:r>
    </w:p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В тесном 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взаимодействии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с Межрайонной инспекцией ФНС России № 17 по Красноярскому краю будет продолжена работа:</w:t>
      </w:r>
    </w:p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- по сохранению достигнутого в 2024 году уровня собираемости налогов и сборов, подлежащих зачислению в бюджет района, его повышению и сокращению задолженности по налогам и сборам; </w:t>
      </w:r>
    </w:p>
    <w:p w:rsidR="007129D9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- межведомственной комиссии по взысканию задолженности по налогам и сборам на территории 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Эвенкийского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муниципального района Красноярского края.</w:t>
      </w:r>
    </w:p>
    <w:p w:rsidR="00C94B67" w:rsidRPr="00C94B67" w:rsidRDefault="00C94B67" w:rsidP="00C94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BC6BC0" w:rsidRDefault="00290B68" w:rsidP="00BC6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BC6BC0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290B68" w:rsidRPr="00BC6BC0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7129D9" w:rsidRPr="00C95D97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left="20" w:firstLine="68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95D97">
        <w:rPr>
          <w:rFonts w:ascii="Times New Roman CYR" w:hAnsi="Times New Roman CYR" w:cs="Times New Roman CYR"/>
          <w:sz w:val="24"/>
          <w:szCs w:val="24"/>
          <w:u w:color="FF0000"/>
        </w:rPr>
        <w:t>По состоянию на 31.12.2024 в стадии банкротства находятся:</w:t>
      </w:r>
    </w:p>
    <w:p w:rsidR="007129D9" w:rsidRPr="00C95D97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left="20" w:firstLine="68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95D97">
        <w:rPr>
          <w:rFonts w:ascii="Times New Roman CYR" w:hAnsi="Times New Roman CYR" w:cs="Times New Roman CYR"/>
          <w:sz w:val="24"/>
          <w:szCs w:val="24"/>
          <w:u w:color="FF0000"/>
        </w:rPr>
        <w:t xml:space="preserve">- МП «Хозяйственное обеспечение» Администрации п. Тура, полная учетная стоимость основных фондов организации </w:t>
      </w:r>
      <w:proofErr w:type="gramStart"/>
      <w:r w:rsidRPr="00C95D97">
        <w:rPr>
          <w:rFonts w:ascii="Times New Roman CYR" w:hAnsi="Times New Roman CYR" w:cs="Times New Roman CYR"/>
          <w:sz w:val="24"/>
          <w:szCs w:val="24"/>
          <w:u w:color="FF0000"/>
        </w:rPr>
        <w:t>на конец</w:t>
      </w:r>
      <w:proofErr w:type="gramEnd"/>
      <w:r w:rsidRPr="00C95D97">
        <w:rPr>
          <w:rFonts w:ascii="Times New Roman CYR" w:hAnsi="Times New Roman CYR" w:cs="Times New Roman CYR"/>
          <w:sz w:val="24"/>
          <w:szCs w:val="24"/>
          <w:u w:color="FF0000"/>
        </w:rPr>
        <w:t xml:space="preserve"> 2024 года составила 0,0 тыс. руб. Предприятие планируется закрыть до конца 2025 года;</w:t>
      </w:r>
    </w:p>
    <w:p w:rsidR="007129D9" w:rsidRPr="00C95D97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left="20" w:firstLine="68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95D97">
        <w:rPr>
          <w:rFonts w:ascii="Times New Roman CYR" w:hAnsi="Times New Roman CYR" w:cs="Times New Roman CYR"/>
          <w:sz w:val="24"/>
          <w:szCs w:val="24"/>
          <w:u w:color="FF0000"/>
        </w:rPr>
        <w:t xml:space="preserve">- МП Эвенкийского муниципального района «Ванавараэнерго», полная учетная стоимость основных фондов организации </w:t>
      </w:r>
      <w:proofErr w:type="gramStart"/>
      <w:r w:rsidRPr="00C95D97">
        <w:rPr>
          <w:rFonts w:ascii="Times New Roman CYR" w:hAnsi="Times New Roman CYR" w:cs="Times New Roman CYR"/>
          <w:sz w:val="24"/>
          <w:szCs w:val="24"/>
          <w:u w:color="FF0000"/>
        </w:rPr>
        <w:t>на конец</w:t>
      </w:r>
      <w:proofErr w:type="gramEnd"/>
      <w:r w:rsidRPr="00C95D97">
        <w:rPr>
          <w:rFonts w:ascii="Times New Roman CYR" w:hAnsi="Times New Roman CYR" w:cs="Times New Roman CYR"/>
          <w:sz w:val="24"/>
          <w:szCs w:val="24"/>
          <w:u w:color="FF0000"/>
        </w:rPr>
        <w:t xml:space="preserve"> 2024 года составила 0,0 тыс. руб. Предприятие планируется закрыть до конца 2025 года.</w:t>
      </w:r>
    </w:p>
    <w:p w:rsidR="007129D9" w:rsidRPr="00C95D97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left="20" w:firstLine="68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95D97">
        <w:rPr>
          <w:rFonts w:ascii="Times New Roman CYR" w:hAnsi="Times New Roman CYR" w:cs="Times New Roman CYR"/>
          <w:sz w:val="24"/>
          <w:szCs w:val="24"/>
          <w:u w:color="FF0000"/>
        </w:rPr>
        <w:t xml:space="preserve">- МП Эвенкийского муниципального района «Эвенкийская база снабжения», полная учетная стоимость основных фондов организации </w:t>
      </w:r>
      <w:proofErr w:type="gramStart"/>
      <w:r w:rsidRPr="00C95D97">
        <w:rPr>
          <w:rFonts w:ascii="Times New Roman CYR" w:hAnsi="Times New Roman CYR" w:cs="Times New Roman CYR"/>
          <w:sz w:val="24"/>
          <w:szCs w:val="24"/>
          <w:u w:color="FF0000"/>
        </w:rPr>
        <w:t>на конец</w:t>
      </w:r>
      <w:proofErr w:type="gramEnd"/>
      <w:r w:rsidRPr="00C95D97">
        <w:rPr>
          <w:rFonts w:ascii="Times New Roman CYR" w:hAnsi="Times New Roman CYR" w:cs="Times New Roman CYR"/>
          <w:sz w:val="24"/>
          <w:szCs w:val="24"/>
          <w:u w:color="FF0000"/>
        </w:rPr>
        <w:t xml:space="preserve"> 2024 года составила 11410,33 тыс. руб. Предприятие планируется закрыть до конца 2027 года.</w:t>
      </w:r>
    </w:p>
    <w:p w:rsidR="007129D9" w:rsidRPr="00C95D97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ind w:left="20" w:firstLine="68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gramStart"/>
      <w:r w:rsidRPr="00C95D97">
        <w:rPr>
          <w:rFonts w:ascii="Times New Roman CYR" w:hAnsi="Times New Roman CYR" w:cs="Times New Roman CYR"/>
          <w:sz w:val="24"/>
          <w:szCs w:val="24"/>
          <w:u w:color="FF0000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 за 2024 год составила 0,14 %. Снижение показателя на 0,02% по сравнению с 2023 годом обусловлено увеличением учетной стоимости основных фондов организаций муниципальной формы собственности на конец 2024 года, в связи с передачей имущества МБОУ «</w:t>
      </w:r>
      <w:proofErr w:type="spellStart"/>
      <w:r w:rsidRPr="00C95D97">
        <w:rPr>
          <w:rFonts w:ascii="Times New Roman CYR" w:hAnsi="Times New Roman CYR" w:cs="Times New Roman CYR"/>
          <w:sz w:val="24"/>
          <w:szCs w:val="24"/>
          <w:u w:color="FF0000"/>
        </w:rPr>
        <w:t>Ванаварской</w:t>
      </w:r>
      <w:proofErr w:type="spellEnd"/>
      <w:proofErr w:type="gramEnd"/>
      <w:r w:rsidRPr="00C95D97">
        <w:rPr>
          <w:rFonts w:ascii="Times New Roman CYR" w:hAnsi="Times New Roman CYR" w:cs="Times New Roman CYR"/>
          <w:sz w:val="24"/>
          <w:szCs w:val="24"/>
          <w:u w:color="FF0000"/>
        </w:rPr>
        <w:t xml:space="preserve"> средней школы» ЭМР в муниципальную собственность.</w:t>
      </w:r>
    </w:p>
    <w:p w:rsidR="007129D9" w:rsidRPr="00C95D97" w:rsidRDefault="007129D9" w:rsidP="007129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020"/>
        <w:gridCol w:w="1098"/>
        <w:gridCol w:w="1134"/>
        <w:gridCol w:w="1134"/>
        <w:gridCol w:w="1134"/>
        <w:gridCol w:w="1134"/>
      </w:tblGrid>
      <w:tr w:rsidR="007129D9" w:rsidTr="005A6302">
        <w:trPr>
          <w:trHeight w:val="104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Наименование организации, ИНН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Сведения о состоянии юридического лица (указывается дата и процедура введения банкротства)</w:t>
            </w:r>
          </w:p>
        </w:tc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Полная учетная стоимость основных фондов организаций муниципальной формы собственности, находящихся в стадии банкротства на конец года, тыс. руб.</w:t>
            </w:r>
          </w:p>
        </w:tc>
      </w:tr>
      <w:tr w:rsidR="007129D9" w:rsidTr="005A6302">
        <w:trPr>
          <w:trHeight w:val="54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2023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2024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2025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2026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2027 прогноз</w:t>
            </w:r>
          </w:p>
        </w:tc>
      </w:tr>
      <w:tr w:rsidR="007129D9" w:rsidTr="005A6302">
        <w:trPr>
          <w:trHeight w:val="5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МП  «Хозяйственное обеспечение» администрации п.Тура ИНН 8801012563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Решением Арбитражного суда Красноярского края от 17 апреля 2019 года по делу №А33-15577/2018 МП «Хозяйственное обеспечение» администрации </w:t>
            </w:r>
            <w:r>
              <w:rPr>
                <w:rFonts w:ascii="Times New Roman CYR" w:hAnsi="Times New Roman CYR" w:cs="Times New Roman CYR"/>
                <w:u w:color="FF0000"/>
              </w:rPr>
              <w:lastRenderedPageBreak/>
              <w:t xml:space="preserve">п.Тура признано банкротом, конкурсное производство продлено до 21.09.2025 г.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-</w:t>
            </w:r>
          </w:p>
        </w:tc>
      </w:tr>
      <w:tr w:rsidR="007129D9" w:rsidTr="005A6302">
        <w:trPr>
          <w:trHeight w:val="84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lastRenderedPageBreak/>
              <w:t>МП ЭМР «Ванавараэнерго» ИНН 8803001655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Решением Арбитражного суда Красноярского края от 11 февраля 2021 года по делу № А33-35258/2020 МП ЭМР «Ванавараэнерго» признано банкротом, конкурсное производство продлено до 16.07.2025 г.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-</w:t>
            </w:r>
          </w:p>
        </w:tc>
      </w:tr>
      <w:tr w:rsidR="007129D9" w:rsidTr="005A6302">
        <w:trPr>
          <w:trHeight w:val="246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МП ЭМР «Эвенкийская база снабжения» ИНН 2465068301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Решением Арбитражного суда Красноярского края от 14 сентября 2023 года по делу № А33-6600/2023 МП ЭМР "Эвенкийская база снабжения" признано банкротом, конкурсное производство продлено до 15.05.2025 г.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11410,33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11410,33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4564,13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2492,33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0,00</w:t>
            </w:r>
          </w:p>
        </w:tc>
      </w:tr>
      <w:tr w:rsidR="007129D9" w:rsidTr="005A6302">
        <w:trPr>
          <w:trHeight w:val="275"/>
        </w:trPr>
        <w:tc>
          <w:tcPr>
            <w:tcW w:w="4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ИТОГО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11410,33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11410,33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4564,13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2492,33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0,00</w:t>
            </w:r>
          </w:p>
        </w:tc>
      </w:tr>
      <w:tr w:rsidR="007129D9" w:rsidTr="005A6302">
        <w:trPr>
          <w:trHeight w:val="821"/>
        </w:trPr>
        <w:tc>
          <w:tcPr>
            <w:tcW w:w="4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Полная учетная стоимость основных фондов организаций муниципальной формы собственности (на конец года), тыс. 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6982639,00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8213730,68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8213730,68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8213730,68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u w:color="FF0000"/>
              </w:rPr>
              <w:t>8213730,68</w:t>
            </w:r>
          </w:p>
        </w:tc>
      </w:tr>
      <w:tr w:rsidR="007129D9" w:rsidTr="005A6302">
        <w:trPr>
          <w:trHeight w:val="1085"/>
        </w:trPr>
        <w:tc>
          <w:tcPr>
            <w:tcW w:w="4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собственности,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0,00</w:t>
            </w:r>
          </w:p>
        </w:tc>
      </w:tr>
    </w:tbl>
    <w:p w:rsidR="003B7751" w:rsidRDefault="003B7751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u w:color="FF0000"/>
        </w:rPr>
      </w:pPr>
    </w:p>
    <w:p w:rsidR="00054C99" w:rsidRPr="009473F9" w:rsidRDefault="00054C99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u w:color="FF0000"/>
        </w:rPr>
      </w:pPr>
    </w:p>
    <w:p w:rsidR="00290B68" w:rsidRPr="006D68A9" w:rsidRDefault="00290B68" w:rsidP="006D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6D68A9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u w:color="FF0000"/>
        </w:rPr>
      </w:pPr>
      <w:r>
        <w:rPr>
          <w:rFonts w:ascii="Times New Roman CYR" w:hAnsi="Times New Roman CYR" w:cs="Times New Roman CYR"/>
          <w:u w:color="FF0000"/>
        </w:rPr>
        <w:t xml:space="preserve">Объем не завершенного в установленные сроки строительства, осуществляемого за счет средств бюджета муниципального района за весь период с начала строительства этих объектов до </w:t>
      </w:r>
      <w:r>
        <w:rPr>
          <w:rFonts w:ascii="Times New Roman CYR" w:hAnsi="Times New Roman CYR" w:cs="Times New Roman CYR"/>
          <w:u w:color="FF0000"/>
        </w:rPr>
        <w:lastRenderedPageBreak/>
        <w:t>конца отчетного года составил 518 954,53 тыс. рублей, что ниже уровня 2023 года (562 002,35 тыс. руб.). Проведенная работа сельскими поселениями района в 2024 году по регистрации объектов законченного строительства, введенных в эксплуатацию, не прошедших государственную регистрацию повлияла на снижение показателя.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1842"/>
        <w:gridCol w:w="1134"/>
        <w:gridCol w:w="1985"/>
        <w:gridCol w:w="1559"/>
        <w:gridCol w:w="2835"/>
      </w:tblGrid>
      <w:tr w:rsidR="007129D9" w:rsidTr="005A6302"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val="single"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val="single"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Период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строи-тельства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Заказчик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Затраты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 w:color="FF0000"/>
              </w:rPr>
              <w:t>местного бюджета</w:t>
            </w: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на строительство объекта,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Перспективы дальнейшего использования объекта (продолжение СМР/отсутствие финансирования, /списание затрат)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Центральная районная больница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Ванавара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2-я очередь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по адресу: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Красноярский край, Эвенкийский район, с.Ванавара,  ул.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Светлая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,  д.6, корп.2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2004 -2012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123914,77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Рассматривается вопрос о передаче муниципального имущества в краевую собственность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Строительство школы на 660 мест Красноярский край, Эвенкийский район, с.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Ванавара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2009 -2011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132610,93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Ведется работа по оценке стоимости разборки объекта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Жилой 3-х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этажный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23-х квартирный жилой дом по ул. Таежная  п. 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2008 -2010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66705,17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Заключен контракт на выполнение работ по сносу строительных конструкций недостроенного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З-х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этажного объекта в п. Тура по ул.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Таежная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, расположенного на земельном участке с кадастровым номером 88:01:0010124:138 от 18.11.2024 № 74. Срок выполнения работ с даты заключения контракта по 1 августа 2025года, планируется списание затрат разборки здания.</w:t>
            </w:r>
          </w:p>
        </w:tc>
      </w:tr>
      <w:tr w:rsidR="007129D9" w:rsidTr="005A6302"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Объекты законченного строительства, введенные в эксплуатацию, не прошедшие государственную регистрацию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70C0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1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квартирный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жилой дом ул. Рябиновая д. 3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Суломай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2016-2017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Администрация МСУ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Суломай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4026,8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Регистрация данного дома возможна только после перевода земельного участка под вид разрешенного использования. Внесение изменений в ПЗЗ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Суломай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планируется на 2026-2027 г. 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2-х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квартирный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жилой дом ул. Еловая 4а 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 xml:space="preserve">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Кузьмовка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2012-2013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Администрация МСУ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Кузьмовка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4742,9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Земельный участок под объектом расположен за пределами границы сельского </w:t>
            </w: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поселения. Требуется внесение изменений в градостроительный план поселения.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2-х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квартирный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жилой дом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ул. Новая 5 п. Бурный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2014-2015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Администрация МСУ п. Бурный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5802,5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Земельный участок под объектом расположен за пределами границы сельского поселения. Требуется внесение изменений в градостроительный план поселения.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2-х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квартирный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жилой дом ул. Центральная 17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с. Мирюга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2015-2016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Администрация МСУ с. Мирюга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6454,1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Документы находятся в суде для дальнейшей регистрации объекта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3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дом ул. Набережная, 9 кв. 1,2,3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Тутончаны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2014-2014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Администрация МСУ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Тутончаны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3561,8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Объект находится в стадии признания как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бесхозное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. Далее планируется  оформление в муниципальную собственность (земля оформлена).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Брусовой дом ул.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Центральная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15а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Тутончаны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2013-2013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Администрация МСУ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Тутончаны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3120,78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Объект находится в стадии признания как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бесхозное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. Далее планируется  оформление в муниципальную собственность (земля оформлена).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Гараж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п.Стрелка-Чуня ул.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2015-2016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Администрация МСУ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п. Стрелка - Чуня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Объект находится в ландшафтной зоне.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Проводится работа по внесению изменений в градостроительный план и ПЗЗ поселения для дальнейшего оформления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. собственность.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Жилой дом на 150 м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 ул. Солнечная 9б  п. Куюмба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2016-2017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Администрация МСУ п. Куюмба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8804,5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Объект находится на стадии оформления.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Проводятся работы по разграничению и перерегистрации земельного участка под объектом.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Здание  администрации  ул.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Лесная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2а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с. Мирюга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2009-2015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Администрация МСУ с. Мирюга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4681,2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Объект не оформлен.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Требуется дополнительное финансирование на проведение экспертизы.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2 кв. дом ул. 70 лет Октября, д. 20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Нидым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2015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Администрация МСУ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Нидым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4561,52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Процесс оформления продолжается в судебном порядке, завершение регистрации объекта запланировано на второе полугодие 2025 г.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Противопожарный трубопровод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Суломай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Администрация МСУ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Суломай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Требуется дополнительное финансирование для завершения строительства объекта.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Гараж к зданию администрации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Кислокан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Администрация МСУ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Кислокан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856,71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Для проведения регистрации объекта требуется утверждение  градостроительного плана поселения. 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Здание администрации  ул. Набережная 5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Тутончаны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Администрация МСУ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Тутончаны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4972,32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Ведется подготовка документов в судебные органы по вопросу регистрации права собственности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Устройство тротуаров п.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Администрация МСУ п. Ессей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2911,04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Продолжение работ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Жилой дом ул.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Школьная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д. 5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п. Полигус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Администрация МСУ п. Полигус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6204,38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Дом в стадии оформления. Планируется заселение во 2 квартале 2025 г.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-142" w:right="-108" w:firstLine="142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Детский игровой комплекс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п. Полигус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Администрация МСУ п. Полигус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318,62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Установка и ввод в эксплуатацию детского комплекса запланирована на 3 квартал 2025 г.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284" w:right="-108" w:hanging="284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Жилой дом переулок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Набережный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, д.2а, п.Нидым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Администрация МСУ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Нидым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1900,0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Право собственности  Администрации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Нидым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оформлено в декабре 2024 г.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284" w:right="-108" w:hanging="284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Лестница от дома №14 ул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олнечная до ориентира по ул.Солнечная д.23 (школа)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п.Куюмба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Администрация МСУ п. Куюмба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374,69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Объект внесен в казну Постановление № 31 от 10.04.2025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284" w:right="-108" w:hanging="284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Тротуар (от склада дома №5 ул. Набережная)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п. Куюмба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Администрация МСУ п. Куюмба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467,29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Объект внесен в казну Постановление № 31 от 10.04.2025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2-х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квартирный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жилой дом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п. Стрелка-Чуня ул. Школьная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2011 -2012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7061,75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Рассматривается вопрос о передаче затрат на баланс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муниципального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образования п.Стрелка-Чуня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-142" w:right="-108" w:firstLine="142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База МП ЭМР «Традиционного хозяйства Севера» п.Тура ул.50 лет Октября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2010 -2011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6 316,48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Рассматривается вопрос о списании затрат в соответствии с Постановлением Администрации ЭМР от 08.05.2020 № 227-п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284" w:right="-108" w:hanging="284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Быстровозводимая крытая спортивная площадка п.Тура ул.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Увачана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998,75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Рассматривается вопрос о списании затрат в соответствии с Постановлением Администрации ЭМР от 08.05.2020 № 227-п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right="-108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Животноводческое и овощеводческое помещение п.Нидым  ул. Набережная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2008 -2010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Рассматривается вопрос о списании затрат в соответствии с Постановлением Администрации ЭМР от 08.05.2020 № 227-п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70C0"/>
                <w:sz w:val="20"/>
                <w:szCs w:val="20"/>
                <w:u w:color="FF0000"/>
              </w:rPr>
            </w:pP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right="-108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Жилой дом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п. Полигус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Бояки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2011 -2012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Муниципальное учреждение </w:t>
            </w: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4686,97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Объект прошел регистрацию в 2018 году. Право </w:t>
            </w: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 xml:space="preserve">собственности Администрации МСУ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п. Полигус. Рассматривается вопрос о передаче затрат на баланс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муниципального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образования п. Полигус.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right="-108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Жилой дом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п. Суринда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ул. Школьная,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2013 -2014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3276,87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Объект прошел регистрацию в 2013 году. Право собственности Администрации МСУ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п. Суринда.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Рассматривается вопрос о передаче затрат на баланс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муниципального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образования п. Суринда.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right="-108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Жилой дом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Кузьмовка</w:t>
            </w:r>
            <w:proofErr w:type="spellEnd"/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ул. Кедровая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2011 -2012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3424,26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Объект прошел регистрацию.  Право собственности Администрации МСУ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Кузьмовка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.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Рассматривается вопрос о передаче затрат на баланс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муниципального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образования 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Кузьмовка</w:t>
            </w:r>
            <w:proofErr w:type="spellEnd"/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right="-108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Жилое помещение п. Муторай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ул. Таежная 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123,45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Объект принадлежит частному лицу.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Рассматривается вопрос о списании затрат с балансового счета ДКС в соответствии с Постановлением Администрации ЭМР от 08.05.2020 № 227-п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Ограждения «Детский сад п.Эконда» ул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аксима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Ялогира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1291,77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Ведется подготовка документов для передачи в стоимость объекта (увеличение балансовой стоимости объекта)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Ограждения «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Средняя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школа п.Эконда»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ул. Школьная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385,38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Ведется подготовка документов для передачи в стоимость объекта (увеличение балансовой стоимости объекта)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Ограждения «Туринская средняя школа п.Тура»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Увачана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482,34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Документы для передачи в стоимость объекта (увеличение балансовой стоимости объекта) подготовлены. Проходит согласование с МБОУ ТСШ ЭМР о принятии на баланс.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Ограждения «Туринская средняя школа-интернат п.Тура» ул. Школьная 30/14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2013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Муниципальное учреждение «Департамент капитального строительства Администрации </w:t>
            </w: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252,97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Ведется подготовка документов для передачи в стоимость объекта (увеличение балансовой стоимости объекта)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Пришкольный интернат под общежитие в п.Ессей ул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.Ш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кольная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3200,00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Рассматривается вопрос о списании затрат в соответствии с Постановлением Администрации ЭМР от 08.05.2020 № 227-п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-142" w:right="-108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Противотуберкулезный диспансер п.Тура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.Т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аежная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53542,02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Рассматривается вопрос о списании затрат в соответствии с Постановлением Администрации ЭМР от 08.05.2020 № 227-п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70C0"/>
                <w:sz w:val="20"/>
                <w:szCs w:val="20"/>
                <w:u w:color="FF0000"/>
              </w:rPr>
            </w:pP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284" w:right="-108" w:hanging="284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Септик к зданию Детская школа искусств п.Тура ул.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Кочечумская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991,50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Рассматривается вопрос о списании затрат в соответствии с Постановлением Администрации ЭМР от 08.05.2020 № 227-п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284" w:right="-108" w:hanging="284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Средняя образовательная школа п.Ессей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ул. Школьная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2014-2015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14488,74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Рассматривается вопрос о списании затрат в соответствии с Постановлением Администрации ЭМР от 08.05.2020 № 227-п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142" w:right="-108" w:hanging="284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Монтаж некапитального здания ДК на 50 мест сборно-разборного типа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Суломай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24835,20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Оплата второго этапа контракта запланирована на январь 2025 года. Здание будет передано на баланс МБОУ «Байкитская клубная система» в 2025 году.</w:t>
            </w: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142" w:right="-108" w:hanging="284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ПСД на строительство детского сада на 120 детей с.Байкит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3313,35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0"/>
                <w:szCs w:val="20"/>
                <w:u w:color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Рассматривается вопрос о списании затрат в соответствии с Постановлением Администрации ЭМР от 08.05.2020 № 227-п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142" w:right="-108" w:hanging="284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Разработка ПСД вентиляции ОШ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п. Полигус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Муниципальное учреждение «Департамент капитального 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94,54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Рассматривается вопрос о списании затрат в соответствии с Постановлением Администрации ЭМР от 08.05.2020 № 227-п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before="120"/>
              <w:ind w:left="142" w:right="-108" w:hanging="284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Разработка ПСД вентиляции ОШ 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п. Суринда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Муниципальное учреждение «Департамент капитального </w:t>
            </w: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строительства Администрации ЭМР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96,17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Рассматривается вопрос о списании затрат в соответствии с Постановлением </w:t>
            </w: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Администрации ЭМР от 08.05.2020 № 227-п</w:t>
            </w:r>
          </w:p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  <w:tr w:rsidR="007129D9" w:rsidTr="005A6302">
        <w:tc>
          <w:tcPr>
            <w:tcW w:w="5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518954,53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9D9" w:rsidRDefault="007129D9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</w:tc>
      </w:tr>
    </w:tbl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0"/>
          <w:szCs w:val="20"/>
          <w:u w:color="FF0000"/>
        </w:rPr>
      </w:pP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В отчетном 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периоде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проводилась следующая работа: 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В 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целях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завершения строительства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Ванаварской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больницы рассматривался вопрос по передаче имущества в государственную собственность Красноярского края для дальнейшего  завершения строительства. Работа будет продолжена.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В отношении объекта «Жилой 3-х этажный 23-х квартирный жилой дом по ул. Таежная п. Тура» от 08.04.2016 г. АО «НТП» получено заключение по результатам обследования технического состояния объекта незавершенного строительством, которым объект признан аварийным и подлежащим сносу.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Заключен контракт на выполнение работ по сносу строительных конструкций недостроенного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З-х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этажного объекта в п. Тура по ул. 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Таежная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>, расположенного на земельном участке с кадастровым номером 88:01:0010124:138 от 18.11.2024 № 74. Срок выполнения работ с даты заключения контракта по 1 августа 2025года, подрядчик ИП Ботулу А.К.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По объекту «Строительство школы на 660 мест в с.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Ванавара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>» ведется работа по оценке стоимости разборки объекта, рассматривается вопрос по списанию затрат.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В 2024 году по результатам инвентаризации балансового счета 106 «Капитальное строительство», решением комиссии по проведению инвентаризации имущества и финансовых обязательств Департамента капитального строительства Администрации ЭМР произведено списание затрат по объектам законченного строительства прошлых лет: «Детский сад на 50 детей п.Ессей ул. Школьная 1», «Площадка для взрослых и детей Эвенкийский противотуберкулезный диспансер п. Тура ул. Таежная 1а», «Система водоснабжения Туринская средняя школа п.Тура ул.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Увачана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7», «Школа искусств с.Ванавара ул.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Увачана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62», «Выполнение работ по устранению аварийности санузла ТСШ».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Объект  законченного строительства «Жилой дом п.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Нидым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ул.70 лет Октября, 8» зарегистрирован в ЕГРН, и передан в собственность муниципального образования п.Нидым.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Проведена работа по передаче на баланс образовательным учреждениям объектов: «Ограждения «Байкитская средняя школа» с. Байкит ул. Комсомольская 15»; «Ограждения «Байкитская средняя школа-интернат» с. Байкит ул.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Увачана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15»; «Ограждения «Средняя школа п.Нидым» пер. имени Т.Ф.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Чапогир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7».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Здание центра развития образования в п.Тутончаны введено в эксплуатацию, и передано в казну район.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В 2024 году проводилась работа по осуществлению государственной регистрации права собственности на объекты недвижимого имущества, поставлены на государственный кадастровый учет 4 объекта муниципального жилищного фонда в поселках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Тутончаны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Нидым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Суломай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, в п. Мирюга - водозаборная скважина. Работа по данному вопросу продолжится и в 2025 году, по 2 объектам 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сформированы пакеты документов и направлены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в судебные органы на рассмотрение.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5 объектов незавершенного строительства в поселках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Суломай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, Стрелка-Чуня,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Кузьмовка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, Бурный, </w:t>
      </w:r>
      <w:proofErr w:type="spellStart"/>
      <w:r>
        <w:rPr>
          <w:rFonts w:ascii="Times New Roman CYR" w:hAnsi="Times New Roman CYR" w:cs="Times New Roman CYR"/>
          <w:sz w:val="24"/>
          <w:szCs w:val="24"/>
          <w:u w:color="FF0000"/>
        </w:rPr>
        <w:t>Кислокан</w:t>
      </w:r>
      <w:proofErr w:type="spell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находятся за границами муниципальных образований. Оформление данных объектов в собственность муниципалитетов в ближайшие годы весьма проблематичны, в связи с длительной и сложной процедурой перевода земельных участков находящихся в собственности государства – в собственность земель поселений.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На 2025 год запланированы мероприятия по подготовке документов на списание затрат, в соответствии с Постановлением от 08.05.2020 № 227-п «Об утверждении Положения о порядке списания затрат по объектам незавершенного строительства в Эвенкийском муниципальном районе» по следующим объектам: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База МП ЭМР Традиционного хозяйства севера п.Тура ул.50 лет Октября 35 - объект приватизирован в 2015 году, не числится в казне района;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Животноводческое и овощеводческое помещение п.Нидым ул. Набережная 2 – объект не существует;</w:t>
      </w:r>
    </w:p>
    <w:p w:rsidR="007129D9" w:rsidRDefault="007129D9" w:rsidP="00712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Противотуберкулезный диспансер п.Тура ул. Таежная 1а – здание передано КГБУЗ «Туринская межрайонная больница №1», не числится в казне района.</w:t>
      </w:r>
    </w:p>
    <w:p w:rsidR="00290B68" w:rsidRPr="006D68A9" w:rsidRDefault="007129D9" w:rsidP="00094E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До 2027 года в целях улучшения значения показателя Администрацией муниципального района продолжится работа по передаче объектов законченного строительства, введенные в эксплуатацию, не прошедшие государственную регистрацию в казну района, поселений и на баланс муниципальных учреждений.</w:t>
      </w:r>
    </w:p>
    <w:p w:rsidR="00E36945" w:rsidRPr="00ED6CB6" w:rsidRDefault="00E36945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ED6CB6" w:rsidRDefault="00290B68" w:rsidP="006D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D6CB6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290B68" w:rsidRPr="00ED6CB6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71B6C" w:rsidRDefault="00971B6C" w:rsidP="00971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В отчетном периоде 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просроченная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кредиторская задолженности по выплате заработной платы с начислениями работникам бюджетной сферы в местных бюджетах Эвенкийского муниципального района отсутствует. В прогнозируемом </w:t>
      </w: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периоде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также планируется недопущение образования просроченной кредиторской задолженности по оплате труда работников муниципальных учреждений.</w:t>
      </w:r>
    </w:p>
    <w:p w:rsidR="00E3732C" w:rsidRPr="00ED6CB6" w:rsidRDefault="00E3732C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ED6CB6" w:rsidRDefault="00290B68" w:rsidP="006D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D6CB6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290B68" w:rsidRPr="00ED6CB6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71B6C" w:rsidRDefault="00971B6C" w:rsidP="00971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2024 году составили 51 743,54 рубля, увеличение расходов по сравнению с 2023 годом составило 11,0 %. В отчетном периоде продолжалась работа по совершенствованию системы оплаты труда работников бюджетной сферы на региональном уровне. Динамика показателя обусловлена индексацией оплаты труда работников органов местного самоуправления, </w:t>
      </w:r>
      <w:r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>ростом минимального уровня заработной платы работников бюджетной сферы.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Также на рост значения показателя в отчетном и прогнозируемом периоде повлияло сокращение среднегодовой численности населения района на 3,2 %, с 13 285 человек в 2023 году </w:t>
      </w:r>
      <w:r w:rsidR="00094E29">
        <w:rPr>
          <w:rFonts w:ascii="Times New Roman CYR" w:hAnsi="Times New Roman CYR" w:cs="Times New Roman CYR"/>
          <w:sz w:val="24"/>
          <w:szCs w:val="24"/>
          <w:u w:color="FF0000"/>
        </w:rPr>
        <w:t>до 12 854 человек в 2027 году.</w:t>
      </w:r>
    </w:p>
    <w:p w:rsidR="00ED6CB6" w:rsidRPr="00ED6CB6" w:rsidRDefault="00ED6CB6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ED6CB6" w:rsidRDefault="00290B68" w:rsidP="00EA6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D6CB6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36. 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290B68" w:rsidRPr="00ED6CB6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300B90" w:rsidRPr="00DD2D8D" w:rsidRDefault="00290B68" w:rsidP="00DD2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ED6CB6">
        <w:rPr>
          <w:rFonts w:ascii="Times New Roman CYR" w:hAnsi="Times New Roman CYR" w:cs="Times New Roman CYR"/>
          <w:sz w:val="24"/>
          <w:szCs w:val="24"/>
          <w:u w:color="FF0000"/>
        </w:rPr>
        <w:t>Схема территориального планирования Эвенкийского муниципального района утверждена Решением Эвенкийского районного Совета депутатов от 13.12.2014 № 3-1355-21. Изменения в данный документ не вносились.</w:t>
      </w:r>
    </w:p>
    <w:p w:rsidR="00A947AF" w:rsidRPr="00A947AF" w:rsidRDefault="00A947AF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ED6CB6" w:rsidRDefault="00290B68" w:rsidP="00320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D6CB6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37. Удовлетворенность населения деятельностью местного самоуправления муниципального, городского округов (муниципального района)</w:t>
      </w:r>
    </w:p>
    <w:p w:rsidR="00290B68" w:rsidRPr="00ED6CB6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ED6CB6" w:rsidRDefault="00290B68" w:rsidP="00290B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D6CB6">
        <w:rPr>
          <w:rFonts w:ascii="Times New Roman CYR" w:hAnsi="Times New Roman CYR" w:cs="Times New Roman CYR"/>
          <w:sz w:val="24"/>
          <w:szCs w:val="24"/>
          <w:u w:color="FF0000"/>
        </w:rPr>
        <w:t>Уровень удовлетворенности населения деятельностью органов местного самоуправлен</w:t>
      </w:r>
      <w:r w:rsidR="00971B6C">
        <w:rPr>
          <w:rFonts w:ascii="Times New Roman CYR" w:hAnsi="Times New Roman CYR" w:cs="Times New Roman CYR"/>
          <w:sz w:val="24"/>
          <w:szCs w:val="24"/>
          <w:u w:color="FF0000"/>
        </w:rPr>
        <w:t>ия муниципального района за 202</w:t>
      </w:r>
      <w:r w:rsidR="00971B6C" w:rsidRPr="00971B6C">
        <w:rPr>
          <w:rFonts w:ascii="Times New Roman CYR" w:hAnsi="Times New Roman CYR" w:cs="Times New Roman CYR"/>
          <w:sz w:val="24"/>
          <w:szCs w:val="24"/>
          <w:u w:color="FF0000"/>
        </w:rPr>
        <w:t>4</w:t>
      </w:r>
      <w:r w:rsidR="00971B6C">
        <w:rPr>
          <w:rFonts w:ascii="Times New Roman CYR" w:hAnsi="Times New Roman CYR" w:cs="Times New Roman CYR"/>
          <w:sz w:val="24"/>
          <w:szCs w:val="24"/>
          <w:u w:color="FF0000"/>
        </w:rPr>
        <w:t xml:space="preserve"> год составил </w:t>
      </w:r>
      <w:r w:rsidR="00971B6C" w:rsidRPr="00971B6C">
        <w:rPr>
          <w:rFonts w:ascii="Times New Roman CYR" w:hAnsi="Times New Roman CYR" w:cs="Times New Roman CYR"/>
          <w:sz w:val="24"/>
          <w:szCs w:val="24"/>
          <w:u w:color="FF0000"/>
        </w:rPr>
        <w:t>48</w:t>
      </w:r>
      <w:r w:rsidRPr="00ED6CB6">
        <w:rPr>
          <w:rFonts w:ascii="Times New Roman CYR" w:hAnsi="Times New Roman CYR" w:cs="Times New Roman CYR"/>
          <w:sz w:val="24"/>
          <w:szCs w:val="24"/>
          <w:u w:color="FF0000"/>
        </w:rPr>
        <w:t>,6 % от числа опрошенных.</w:t>
      </w:r>
    </w:p>
    <w:p w:rsidR="00E36945" w:rsidRPr="00ED6CB6" w:rsidRDefault="00E36945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ED6CB6" w:rsidRDefault="00290B68" w:rsidP="00A9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D6CB6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lastRenderedPageBreak/>
        <w:t xml:space="preserve">38. Среднегодовая численность </w:t>
      </w:r>
      <w:proofErr w:type="gramStart"/>
      <w:r w:rsidRPr="00ED6CB6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постоянного</w:t>
      </w:r>
      <w:proofErr w:type="gramEnd"/>
      <w:r w:rsidRPr="00ED6CB6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населения</w:t>
      </w:r>
    </w:p>
    <w:p w:rsidR="00290B68" w:rsidRPr="00ED6CB6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106AC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Среднегодовая численность постоянного населения Эвенкийского района за 2024 год составила 13193 человека. </w:t>
      </w:r>
    </w:p>
    <w:p w:rsidR="00C106AC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u w:color="FF0000"/>
        </w:rPr>
        <w:t>В отчетном 2024 году демографическая ситуация характеризовалась естественным приростом и миграционным оттоком населения.</w:t>
      </w:r>
      <w:proofErr w:type="gramEnd"/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Число родившихся за 2024 год составило 192 человека, число умерших 175 человек. Естественный прирост населения составил 17 человек. Численность прибывших составила 797 человек, число выбывших – 939 человек, миграционный отток составил «минус» 142 человека. Таким образом, миграционный отток населения превысил естественную прибыль населения на 125 человек.</w:t>
      </w:r>
    </w:p>
    <w:p w:rsidR="00C106AC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На прогнозный период до 2027 года население района будет уменьшаться в связи с преобладанием миграционного оттока населения.</w:t>
      </w:r>
    </w:p>
    <w:p w:rsidR="00C106AC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9"/>
        <w:gridCol w:w="851"/>
        <w:gridCol w:w="850"/>
        <w:gridCol w:w="992"/>
        <w:gridCol w:w="992"/>
        <w:gridCol w:w="992"/>
        <w:gridCol w:w="993"/>
        <w:gridCol w:w="992"/>
      </w:tblGrid>
      <w:tr w:rsidR="00C106AC" w:rsidTr="005A6302">
        <w:tc>
          <w:tcPr>
            <w:tcW w:w="2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Наименование </w:t>
            </w:r>
          </w:p>
          <w:p w:rsidR="00C106AC" w:rsidRDefault="00C106AC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показателя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6AC" w:rsidRDefault="00C106AC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C106AC" w:rsidTr="00DD2D8D">
        <w:trPr>
          <w:trHeight w:val="397"/>
        </w:trPr>
        <w:tc>
          <w:tcPr>
            <w:tcW w:w="2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2025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2026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2027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2028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2029 прогноз</w:t>
            </w:r>
          </w:p>
        </w:tc>
      </w:tr>
      <w:tr w:rsidR="00C106AC" w:rsidTr="005A6302"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Среднегодовая численность 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постоянного</w:t>
            </w:r>
            <w:proofErr w:type="gramEnd"/>
            <w:r>
              <w:rPr>
                <w:rFonts w:ascii="Times New Roman CYR" w:hAnsi="Times New Roman CYR" w:cs="Times New Roman CYR"/>
                <w:u w:color="FF0000"/>
              </w:rPr>
              <w:t xml:space="preserve">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13 285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13 193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13 069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12 948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12 854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12 787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</w:tr>
      <w:tr w:rsidR="00C106AC" w:rsidTr="005A6302"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Численность населения на начало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13 311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13 258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13 129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13 008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12 888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12 820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12 753</w:t>
            </w:r>
          </w:p>
        </w:tc>
      </w:tr>
      <w:tr w:rsidR="00C106AC" w:rsidTr="005A6302"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Численность 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родившихся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</w:tr>
      <w:tr w:rsidR="00C106AC" w:rsidTr="00DD2D8D">
        <w:trPr>
          <w:trHeight w:val="305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Численность 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умерших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</w:tr>
      <w:tr w:rsidR="00C106AC" w:rsidTr="005A6302"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Естественный прирост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 xml:space="preserve"> (+), </w:t>
            </w:r>
            <w:proofErr w:type="gramEnd"/>
            <w:r>
              <w:rPr>
                <w:rFonts w:ascii="Times New Roman CYR" w:hAnsi="Times New Roman CYR" w:cs="Times New Roman CYR"/>
                <w:u w:color="FF0000"/>
              </w:rPr>
              <w:t>убыль(-)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</w:tr>
      <w:tr w:rsidR="00C106AC" w:rsidTr="005A6302"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Численность 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1 028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785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</w:tr>
      <w:tr w:rsidR="00C106AC" w:rsidTr="005A6302"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Численность 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убывших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1 107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905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</w:tr>
      <w:tr w:rsidR="00C106AC" w:rsidTr="005A6302"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5A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Миграционный прирос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т(</w:t>
            </w:r>
            <w:proofErr w:type="gramEnd"/>
            <w:r>
              <w:rPr>
                <w:rFonts w:ascii="Times New Roman CYR" w:hAnsi="Times New Roman CYR" w:cs="Times New Roman CYR"/>
                <w:u w:color="FF0000"/>
              </w:rPr>
              <w:t>+),убыль(-)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-120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 </w:t>
            </w:r>
          </w:p>
        </w:tc>
      </w:tr>
    </w:tbl>
    <w:p w:rsidR="00290B68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ED6CB6" w:rsidRDefault="00290B68" w:rsidP="00ED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D6CB6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IX. Энергосбережение и повышение энергетической эффективности</w:t>
      </w:r>
    </w:p>
    <w:p w:rsidR="00290B68" w:rsidRPr="00ED6CB6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ED6CB6" w:rsidRDefault="00290B68" w:rsidP="00ED6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D6CB6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A947AF" w:rsidRDefault="00A947AF" w:rsidP="00C106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C106AC" w:rsidRPr="00A947AF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 xml:space="preserve">В Эвенкийском муниципальном </w:t>
      </w:r>
      <w:proofErr w:type="gramStart"/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>районе</w:t>
      </w:r>
      <w:proofErr w:type="gramEnd"/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 xml:space="preserve"> потребление холодной и горячей воды в МКД в 2024 году осуществлялось из системы централизованного водоснабжения. При определении объемов использовались нормативы потребления коммунальной услуги по водоснабжению, утвержденные Приказом министерства промышленности, энергетики и жилищно-коммунального хозяйства Красноярского края от 04.12.2020 N 14-37н, и при наличии приборов учета (показания приборов учета). </w:t>
      </w:r>
    </w:p>
    <w:p w:rsidR="00C106AC" w:rsidRPr="00A947AF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947AF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ab/>
      </w:r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>39.1</w:t>
      </w:r>
      <w:r w:rsidRPr="00A947AF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 xml:space="preserve"> </w:t>
      </w:r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>Удельная величина потребления электрической энергии в многоквартирных домах в 2024 году составила 1208,15 кВт/</w:t>
      </w:r>
      <w:proofErr w:type="gramStart"/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>ч</w:t>
      </w:r>
      <w:proofErr w:type="gramEnd"/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 xml:space="preserve"> на одного проживающего. По отношению к 2023 году показатель потребления незначительно увеличился на 1,66 %. Объем потребления электрической энергии соответствует фактическому потреблению населением на основании показаний приборов учета в многоквартирных домах.</w:t>
      </w:r>
    </w:p>
    <w:p w:rsidR="00A947AF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 xml:space="preserve">39.2 Удельная величина потребления тепловой энергии в многоквартирных домах за 2024 год составила 0,59 Гкал на 1 кв. метр общей площади. По отношению к 2023 году </w:t>
      </w:r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показатель остался на прежнем уровне.</w:t>
      </w:r>
      <w:r w:rsidRPr="00A947AF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ab/>
      </w:r>
    </w:p>
    <w:p w:rsidR="00C106AC" w:rsidRPr="00A947AF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>39.3</w:t>
      </w:r>
      <w:r w:rsidRPr="00A947AF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 xml:space="preserve"> </w:t>
      </w:r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 xml:space="preserve">Удельная величина потребления горячей воды в многоквартирных домах за 2024 год, по данным </w:t>
      </w:r>
      <w:proofErr w:type="spellStart"/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>ресурсоснабжающих</w:t>
      </w:r>
      <w:proofErr w:type="spellEnd"/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 xml:space="preserve"> организаций, составила 12,71 куб. метров на </w:t>
      </w:r>
      <w:r w:rsidR="00A947AF">
        <w:rPr>
          <w:rFonts w:ascii="Times New Roman CYR" w:hAnsi="Times New Roman CYR" w:cs="Times New Roman CYR"/>
          <w:sz w:val="24"/>
          <w:szCs w:val="24"/>
          <w:u w:color="FF0000"/>
        </w:rPr>
        <w:t xml:space="preserve">    </w:t>
      </w:r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 xml:space="preserve">1 проживающего. По отношению к 2023 году произошло уменьшение показателя на 1,09 куб. метров. </w:t>
      </w:r>
    </w:p>
    <w:p w:rsidR="00C106AC" w:rsidRPr="00A947AF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 xml:space="preserve">39.4 Удельная величина потребления холодной воды в многоквартирных домах за 2024 год, по данным </w:t>
      </w:r>
      <w:proofErr w:type="spellStart"/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>ресурсоснабжающих</w:t>
      </w:r>
      <w:proofErr w:type="spellEnd"/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 xml:space="preserve"> организаций, составила 32,21 куб. метров на </w:t>
      </w:r>
      <w:r w:rsidR="00A947AF">
        <w:rPr>
          <w:rFonts w:ascii="Times New Roman CYR" w:hAnsi="Times New Roman CYR" w:cs="Times New Roman CYR"/>
          <w:sz w:val="24"/>
          <w:szCs w:val="24"/>
          <w:u w:color="FF0000"/>
        </w:rPr>
        <w:t xml:space="preserve">     </w:t>
      </w:r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 xml:space="preserve">1 проживающего. По отношению к 2023 году произошло уменьшение показателя  на </w:t>
      </w:r>
      <w:r w:rsidR="00A947AF">
        <w:rPr>
          <w:rFonts w:ascii="Times New Roman CYR" w:hAnsi="Times New Roman CYR" w:cs="Times New Roman CYR"/>
          <w:sz w:val="24"/>
          <w:szCs w:val="24"/>
          <w:u w:color="FF0000"/>
        </w:rPr>
        <w:t xml:space="preserve">    </w:t>
      </w:r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 xml:space="preserve">0,11 куб. метров. </w:t>
      </w:r>
    </w:p>
    <w:p w:rsidR="00C106AC" w:rsidRPr="00A947AF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ab/>
        <w:t>39.5 Показатель отсутствует, так как Эвенкийский муниципальный район не газифицирован.</w:t>
      </w:r>
    </w:p>
    <w:p w:rsidR="00C106AC" w:rsidRPr="00A947AF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947AF">
        <w:rPr>
          <w:rFonts w:ascii="Times New Roman CYR" w:hAnsi="Times New Roman CYR" w:cs="Times New Roman CYR"/>
          <w:sz w:val="24"/>
          <w:szCs w:val="24"/>
          <w:u w:color="FF0000"/>
        </w:rPr>
        <w:t>На прогнозный период до 2027 года показатели сохранятся на уровне 2024 года.</w:t>
      </w:r>
    </w:p>
    <w:p w:rsidR="00C106AC" w:rsidRPr="00A947AF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74"/>
        <w:gridCol w:w="1120"/>
        <w:gridCol w:w="1179"/>
        <w:gridCol w:w="1179"/>
        <w:gridCol w:w="1179"/>
        <w:gridCol w:w="1206"/>
      </w:tblGrid>
      <w:tr w:rsidR="00C106AC" w:rsidTr="005A6302">
        <w:trPr>
          <w:trHeight w:val="327"/>
        </w:trPr>
        <w:tc>
          <w:tcPr>
            <w:tcW w:w="34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Значения показателя</w:t>
            </w:r>
          </w:p>
        </w:tc>
      </w:tr>
      <w:tr w:rsidR="00C106AC" w:rsidTr="005A6302">
        <w:trPr>
          <w:trHeight w:val="760"/>
        </w:trPr>
        <w:tc>
          <w:tcPr>
            <w:tcW w:w="34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2023</w:t>
            </w:r>
          </w:p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 факт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2024 </w:t>
            </w:r>
          </w:p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факт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2025 оценка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2026 прогноз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2027 прогноз</w:t>
            </w:r>
          </w:p>
        </w:tc>
      </w:tr>
      <w:tr w:rsidR="00C106AC" w:rsidTr="005A6302">
        <w:trPr>
          <w:trHeight w:val="621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39.1. Потребление электрической энергии, кВт/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  <w:u w:color="FF0000"/>
              </w:rPr>
              <w:t xml:space="preserve"> на 1 проживающего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1 188,44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1 208,15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1 208,15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1 208,15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1 208,15</w:t>
            </w:r>
          </w:p>
        </w:tc>
      </w:tr>
      <w:tr w:rsidR="00C106AC" w:rsidTr="005A6302">
        <w:trPr>
          <w:trHeight w:val="653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объем потребления электрической энергии в многоквартирных домах, кВт/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ч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7 918 584,00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7 996 720,00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7 996 720,00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7 996 720,00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7 996 720,00</w:t>
            </w:r>
          </w:p>
        </w:tc>
      </w:tr>
      <w:tr w:rsidR="00C106AC" w:rsidTr="005A6302">
        <w:trPr>
          <w:trHeight w:val="997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6 663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6 619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6 619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6 619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6 619</w:t>
            </w:r>
          </w:p>
        </w:tc>
      </w:tr>
      <w:tr w:rsidR="00C106AC" w:rsidTr="005A6302">
        <w:trPr>
          <w:trHeight w:val="621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39.2. Потребление тепловой энергии, Гкал на 1 кв. метр общей площади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0,59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0,59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0,59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0,59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0,59</w:t>
            </w:r>
          </w:p>
        </w:tc>
      </w:tr>
      <w:tr w:rsidR="00C106AC" w:rsidTr="005A6302">
        <w:trPr>
          <w:trHeight w:val="653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объем потребленной тепловой энергии в многоквартирных домах, Гкал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66 790,35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67 001,39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67 001,39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67 001,39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67 001,39</w:t>
            </w:r>
          </w:p>
        </w:tc>
      </w:tr>
      <w:tr w:rsidR="00C106AC" w:rsidTr="005A6302">
        <w:trPr>
          <w:trHeight w:val="653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общая площадь жилых помещений в многоквартирных домах,  кв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113052,25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113542,51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113542,51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113542,51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113542,51</w:t>
            </w:r>
          </w:p>
        </w:tc>
      </w:tr>
      <w:tr w:rsidR="00C106AC" w:rsidTr="005A6302">
        <w:trPr>
          <w:trHeight w:val="621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39.3. Потребление горячей воды, куб. метров на 1 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проживающего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13,80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12,71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12,71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12,71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12,71</w:t>
            </w:r>
          </w:p>
        </w:tc>
      </w:tr>
      <w:tr w:rsidR="00C106AC" w:rsidTr="005A6302">
        <w:trPr>
          <w:trHeight w:val="653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объем потребления горячей воды в многоквартирных домах, куб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12 861,33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11 798,92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11 798,92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11 798,92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11 798,92</w:t>
            </w:r>
          </w:p>
        </w:tc>
      </w:tr>
      <w:tr w:rsidR="00C106AC" w:rsidTr="005A6302">
        <w:trPr>
          <w:trHeight w:val="993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932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928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928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928</w:t>
            </w:r>
          </w:p>
        </w:tc>
      </w:tr>
      <w:tr w:rsidR="00C106AC" w:rsidTr="005A6302">
        <w:trPr>
          <w:trHeight w:val="621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39.4. Потребление холодной воды, куб. метров на 1 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проживающего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32,32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32,21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32,21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32,21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32,21</w:t>
            </w:r>
          </w:p>
        </w:tc>
      </w:tr>
      <w:tr w:rsidR="00C106AC" w:rsidTr="00DD2D8D">
        <w:trPr>
          <w:trHeight w:val="653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DD2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объем потребления холодной воды в многоквартирных домах, куб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.м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35 584,92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32 205,03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32 205,03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32 205,03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32 205,03</w:t>
            </w:r>
          </w:p>
        </w:tc>
      </w:tr>
      <w:tr w:rsidR="00C106AC" w:rsidTr="00DD2D8D">
        <w:trPr>
          <w:trHeight w:val="1000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AC" w:rsidRDefault="00C106AC" w:rsidP="00DD2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1 101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1 000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1 000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1 000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1 000</w:t>
            </w:r>
          </w:p>
        </w:tc>
      </w:tr>
    </w:tbl>
    <w:p w:rsidR="00290B68" w:rsidRPr="00ED6CB6" w:rsidRDefault="00290B68" w:rsidP="00ED6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D6CB6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lastRenderedPageBreak/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290B68" w:rsidRPr="00ED6CB6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106AC" w:rsidRPr="00AA2544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A2544">
        <w:rPr>
          <w:rFonts w:ascii="Times New Roman CYR" w:hAnsi="Times New Roman CYR" w:cs="Times New Roman CYR"/>
          <w:sz w:val="24"/>
          <w:szCs w:val="24"/>
          <w:u w:color="FF0000"/>
        </w:rPr>
        <w:t>40.1 Удельная величина потребления электрической энергии в муниципальных учреждениях в 2024 году составила 268,83 кВт/</w:t>
      </w:r>
      <w:proofErr w:type="gramStart"/>
      <w:r w:rsidRPr="00AA2544">
        <w:rPr>
          <w:rFonts w:ascii="Times New Roman CYR" w:hAnsi="Times New Roman CYR" w:cs="Times New Roman CYR"/>
          <w:sz w:val="24"/>
          <w:szCs w:val="24"/>
          <w:u w:color="FF0000"/>
        </w:rPr>
        <w:t>ч</w:t>
      </w:r>
      <w:proofErr w:type="gramEnd"/>
      <w:r w:rsidRPr="00AA2544">
        <w:rPr>
          <w:rFonts w:ascii="Times New Roman CYR" w:hAnsi="Times New Roman CYR" w:cs="Times New Roman CYR"/>
          <w:sz w:val="24"/>
          <w:szCs w:val="24"/>
          <w:u w:color="FF0000"/>
        </w:rPr>
        <w:t xml:space="preserve"> на одного человека населения. По отношению к 2023 году произошло увеличение показателя на 10,07 % из-за снижения среднегодовой численности постоянного населения в 2024 году.</w:t>
      </w:r>
    </w:p>
    <w:p w:rsidR="00C106AC" w:rsidRPr="00AA2544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A2544">
        <w:rPr>
          <w:rFonts w:ascii="Times New Roman CYR" w:hAnsi="Times New Roman CYR" w:cs="Times New Roman CYR"/>
          <w:sz w:val="24"/>
          <w:szCs w:val="24"/>
          <w:u w:color="FF0000"/>
        </w:rPr>
        <w:t>40.2</w:t>
      </w:r>
      <w:r w:rsidRPr="00AA2544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 xml:space="preserve"> </w:t>
      </w:r>
      <w:r w:rsidRPr="00AA2544">
        <w:rPr>
          <w:rFonts w:ascii="Times New Roman CYR" w:hAnsi="Times New Roman CYR" w:cs="Times New Roman CYR"/>
          <w:sz w:val="24"/>
          <w:szCs w:val="24"/>
          <w:u w:color="FF0000"/>
        </w:rPr>
        <w:t>Удельная величина потребления тепловой энергии муниципальными учреждениями за 2024 год составила 0,29 Гкал на 1 кв. метр общей площади. По отношению к 2023 году произошло незначительное увеличение показателя на 0,01 Гкал на 1 кв. метр общей площади.</w:t>
      </w:r>
    </w:p>
    <w:p w:rsidR="00C106AC" w:rsidRPr="00AA2544" w:rsidRDefault="00C106AC" w:rsidP="00C10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A2544">
        <w:rPr>
          <w:rFonts w:ascii="Times New Roman CYR" w:hAnsi="Times New Roman CYR" w:cs="Times New Roman CYR"/>
          <w:sz w:val="24"/>
          <w:szCs w:val="24"/>
          <w:u w:color="FF0000"/>
        </w:rPr>
        <w:t xml:space="preserve">40.3 Удельная величина потребления горячей воды муниципальными учреждениями в 2024 году составила 0,36 куб. метра на 1 человека, что выше по отношению к 2023 году на 0,14 куб. метров. Рост показателя за 2024 год, по данным </w:t>
      </w:r>
      <w:proofErr w:type="spellStart"/>
      <w:r w:rsidRPr="00AA2544">
        <w:rPr>
          <w:rFonts w:ascii="Times New Roman CYR" w:hAnsi="Times New Roman CYR" w:cs="Times New Roman CYR"/>
          <w:sz w:val="24"/>
          <w:szCs w:val="24"/>
          <w:u w:color="FF0000"/>
        </w:rPr>
        <w:t>ресурсоснабжающей</w:t>
      </w:r>
      <w:proofErr w:type="spellEnd"/>
      <w:r w:rsidRPr="00AA2544">
        <w:rPr>
          <w:rFonts w:ascii="Times New Roman CYR" w:hAnsi="Times New Roman CYR" w:cs="Times New Roman CYR"/>
          <w:sz w:val="24"/>
          <w:szCs w:val="24"/>
          <w:u w:color="FF0000"/>
        </w:rPr>
        <w:t xml:space="preserve"> организации МП ЭМР «Илимпийские теплосети», обусловлен увеличением потребления горячей воды в связи с заключением новых контрактов по предоставлению данной услуги. </w:t>
      </w:r>
    </w:p>
    <w:p w:rsidR="00C106AC" w:rsidRPr="00AA2544" w:rsidRDefault="00C106AC" w:rsidP="00C10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A2544">
        <w:rPr>
          <w:rFonts w:ascii="Times New Roman CYR" w:hAnsi="Times New Roman CYR" w:cs="Times New Roman CYR"/>
          <w:sz w:val="24"/>
          <w:szCs w:val="24"/>
          <w:u w:color="FF0000"/>
        </w:rPr>
        <w:t xml:space="preserve">40.4 Удельная величина потребления холодной воды муниципальными учреждениями в 2024 году составила 0,65 куб. метра на 1 человека, что незначительно выше по отношению к 2023 году на 0,03 куб. метров. Рост показателя за 2024 год обусловлен увеличением потребления холодной воды по данным </w:t>
      </w:r>
      <w:proofErr w:type="spellStart"/>
      <w:r w:rsidRPr="00AA2544">
        <w:rPr>
          <w:rFonts w:ascii="Times New Roman CYR" w:hAnsi="Times New Roman CYR" w:cs="Times New Roman CYR"/>
          <w:sz w:val="24"/>
          <w:szCs w:val="24"/>
          <w:u w:color="FF0000"/>
        </w:rPr>
        <w:t>ресурсоснабжающих</w:t>
      </w:r>
      <w:proofErr w:type="spellEnd"/>
      <w:r w:rsidRPr="00AA2544">
        <w:rPr>
          <w:rFonts w:ascii="Times New Roman CYR" w:hAnsi="Times New Roman CYR" w:cs="Times New Roman CYR"/>
          <w:sz w:val="24"/>
          <w:szCs w:val="24"/>
          <w:u w:color="FF0000"/>
        </w:rPr>
        <w:t xml:space="preserve"> организаций.</w:t>
      </w:r>
    </w:p>
    <w:p w:rsidR="00C106AC" w:rsidRPr="00AA2544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A2544">
        <w:rPr>
          <w:rFonts w:ascii="Times New Roman CYR" w:hAnsi="Times New Roman CYR" w:cs="Times New Roman CYR"/>
          <w:sz w:val="24"/>
          <w:szCs w:val="24"/>
          <w:u w:color="FF0000"/>
        </w:rPr>
        <w:t>40.5 Показатель отсутствует, так как Эвенкийский муниципальный район не газифицирован.</w:t>
      </w:r>
    </w:p>
    <w:p w:rsidR="00C106AC" w:rsidRPr="00AA2544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A2544">
        <w:rPr>
          <w:rFonts w:ascii="Times New Roman CYR" w:hAnsi="Times New Roman CYR" w:cs="Times New Roman CYR"/>
          <w:sz w:val="24"/>
          <w:szCs w:val="24"/>
          <w:u w:color="FF0000"/>
        </w:rPr>
        <w:t>На прогнозный период до 2027 года показатели сохранятся на уровне 2024 года.</w:t>
      </w:r>
    </w:p>
    <w:p w:rsidR="00C106AC" w:rsidRDefault="00C106AC" w:rsidP="00C106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2"/>
        <w:gridCol w:w="1102"/>
        <w:gridCol w:w="1087"/>
        <w:gridCol w:w="1089"/>
        <w:gridCol w:w="1089"/>
        <w:gridCol w:w="1095"/>
      </w:tblGrid>
      <w:tr w:rsidR="00C106AC" w:rsidTr="005A6302">
        <w:trPr>
          <w:trHeight w:val="316"/>
        </w:trPr>
        <w:tc>
          <w:tcPr>
            <w:tcW w:w="39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Значения показателя</w:t>
            </w:r>
          </w:p>
        </w:tc>
      </w:tr>
      <w:tr w:rsidR="00C106AC" w:rsidTr="005A6302">
        <w:trPr>
          <w:trHeight w:val="735"/>
        </w:trPr>
        <w:tc>
          <w:tcPr>
            <w:tcW w:w="39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2023 </w:t>
            </w:r>
          </w:p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факт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2024 факт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2025 оценка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2026 прогноз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2027 прогноз</w:t>
            </w:r>
          </w:p>
        </w:tc>
      </w:tr>
      <w:tr w:rsidR="00C106AC" w:rsidTr="005A6302">
        <w:trPr>
          <w:trHeight w:val="600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40.1. Потребление электрической энергии, кВт/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ч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244,24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268,83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271,38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273,92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275,92</w:t>
            </w:r>
          </w:p>
        </w:tc>
      </w:tr>
      <w:tr w:rsidR="00C106AC" w:rsidTr="005A6302">
        <w:trPr>
          <w:trHeight w:val="948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объем потребленной (израсходованной) электрической энергии муниципальными учреждениями, кВт/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ч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3 244 729,40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3 546 715,00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3 546 715,00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3 546 715,00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3 546 715,00</w:t>
            </w:r>
          </w:p>
        </w:tc>
      </w:tr>
      <w:tr w:rsidR="00C106AC" w:rsidTr="005A6302">
        <w:trPr>
          <w:trHeight w:val="873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среднегодовая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13 285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13 193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13 069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12 948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12 854</w:t>
            </w:r>
          </w:p>
        </w:tc>
      </w:tr>
      <w:tr w:rsidR="00C106AC" w:rsidTr="005A6302">
        <w:trPr>
          <w:trHeight w:val="600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0,29</w:t>
            </w:r>
          </w:p>
        </w:tc>
      </w:tr>
      <w:tr w:rsidR="00C106AC" w:rsidTr="005A6302">
        <w:trPr>
          <w:trHeight w:val="948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21 936,51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22 778,06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22 778,06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22 778,06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22 778,06</w:t>
            </w:r>
          </w:p>
        </w:tc>
      </w:tr>
      <w:tr w:rsidR="00C106AC" w:rsidTr="005A6302">
        <w:trPr>
          <w:trHeight w:val="631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общая площадь муниципальных учреждений, кв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.м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78 887,92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79 174,16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79 174,16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79 174,16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79 174,16</w:t>
            </w:r>
          </w:p>
        </w:tc>
      </w:tr>
      <w:tr w:rsidR="00C106AC" w:rsidTr="005A6302">
        <w:trPr>
          <w:trHeight w:val="316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40.3. Потребление горячей воды, куб. 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м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0,37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0,37</w:t>
            </w:r>
          </w:p>
        </w:tc>
      </w:tr>
      <w:tr w:rsidR="00C106AC" w:rsidTr="005A6302">
        <w:trPr>
          <w:trHeight w:val="948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lastRenderedPageBreak/>
              <w:t>объем потребленной (израсходованной) горячей воды муниципальными учреждениями, куб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.м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2 916,11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4 789,89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4 789,89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4 789,89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4 789,89</w:t>
            </w:r>
          </w:p>
        </w:tc>
      </w:tr>
      <w:tr w:rsidR="00C106AC" w:rsidTr="005A6302">
        <w:trPr>
          <w:trHeight w:val="960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среднегодовая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13 285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13 193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13 069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12 948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12 854</w:t>
            </w:r>
          </w:p>
        </w:tc>
      </w:tr>
      <w:tr w:rsidR="00C106AC" w:rsidTr="005A6302">
        <w:trPr>
          <w:trHeight w:val="316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40.4. Потребление холодной воды, куб. 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м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0,66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0,67</w:t>
            </w:r>
          </w:p>
        </w:tc>
      </w:tr>
      <w:tr w:rsidR="00C106AC" w:rsidTr="005A6302">
        <w:trPr>
          <w:trHeight w:val="948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объем потребленной (израсходованной) холодной воды муниципальными учреждениями, куб</w:t>
            </w:r>
            <w:proofErr w:type="gramStart"/>
            <w:r>
              <w:rPr>
                <w:rFonts w:ascii="Times New Roman CYR" w:hAnsi="Times New Roman CYR" w:cs="Times New Roman CYR"/>
                <w:u w:color="FF0000"/>
              </w:rPr>
              <w:t>.м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8 227,33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8 595,26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8 595,26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8 595,26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8 595,26</w:t>
            </w:r>
          </w:p>
        </w:tc>
      </w:tr>
      <w:tr w:rsidR="00C106AC" w:rsidTr="005A6302">
        <w:trPr>
          <w:trHeight w:val="1011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среднегодовая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13 285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13 193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13 069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12 948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6AC" w:rsidRDefault="00C106AC" w:rsidP="005A63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12 854</w:t>
            </w:r>
          </w:p>
        </w:tc>
      </w:tr>
    </w:tbl>
    <w:p w:rsidR="00290B68" w:rsidRPr="00DD2D8D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290B68" w:rsidRPr="00DD2D8D" w:rsidRDefault="00290B68" w:rsidP="00ED6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DD2D8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X. Независимая оценка</w:t>
      </w:r>
    </w:p>
    <w:p w:rsidR="00290B68" w:rsidRPr="00DD2D8D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290B68" w:rsidRPr="00DD2D8D" w:rsidRDefault="00290B68" w:rsidP="00ED6C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DD2D8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41. </w:t>
      </w:r>
      <w:proofErr w:type="gramStart"/>
      <w:r w:rsidRPr="00DD2D8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Pr="00DD2D8D">
        <w:rPr>
          <w:rFonts w:ascii="Times New Roman" w:hAnsi="Times New Roman" w:cs="Times New Roman"/>
          <w:b/>
          <w:bCs/>
          <w:color w:val="000000"/>
          <w:sz w:val="24"/>
          <w:szCs w:val="24"/>
          <w:u w:color="FF0000"/>
        </w:rPr>
        <w:t>«</w:t>
      </w:r>
      <w:r w:rsidRPr="00DD2D8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Интернет</w:t>
      </w:r>
      <w:r w:rsidRPr="00DD2D8D">
        <w:rPr>
          <w:rFonts w:ascii="Times New Roman" w:hAnsi="Times New Roman" w:cs="Times New Roman"/>
          <w:b/>
          <w:bCs/>
          <w:color w:val="000000"/>
          <w:sz w:val="24"/>
          <w:szCs w:val="24"/>
          <w:u w:color="FF0000"/>
        </w:rPr>
        <w:t>») (</w:t>
      </w:r>
      <w:r w:rsidRPr="00DD2D8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при наличии)</w:t>
      </w:r>
      <w:proofErr w:type="gramEnd"/>
    </w:p>
    <w:p w:rsidR="00290B68" w:rsidRPr="00DD2D8D" w:rsidRDefault="00290B68" w:rsidP="0029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402B3" w:rsidRPr="009402B3" w:rsidRDefault="009402B3" w:rsidP="009402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</w:pPr>
      <w:r w:rsidRPr="009402B3"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  <w:t>За отчетный 2024 год</w:t>
      </w:r>
      <w:r w:rsidRPr="009402B3">
        <w:rPr>
          <w:rFonts w:ascii="Times New Roman CYR" w:eastAsiaTheme="minorHAnsi" w:hAnsi="Times New Roman CYR" w:cs="Times New Roman CYR"/>
          <w:b/>
          <w:bCs/>
          <w:sz w:val="24"/>
          <w:szCs w:val="24"/>
          <w:u w:color="FF0000"/>
          <w:lang w:eastAsia="en-US"/>
        </w:rPr>
        <w:t xml:space="preserve"> </w:t>
      </w:r>
      <w:r w:rsidRPr="009402B3"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  <w:t xml:space="preserve">независимая оценка качества условий оказания услуг муниципальными учреждениями проводилась в сфере культуры. В </w:t>
      </w:r>
      <w:proofErr w:type="gramStart"/>
      <w:r w:rsidRPr="009402B3"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  <w:t>организациях</w:t>
      </w:r>
      <w:proofErr w:type="gramEnd"/>
      <w:r w:rsidRPr="009402B3"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  <w:t xml:space="preserve"> сферы образования оценка качества не проводилась. Итого по муниципальному району показатель составил 93,19 баллов.</w:t>
      </w:r>
    </w:p>
    <w:p w:rsidR="009402B3" w:rsidRPr="009402B3" w:rsidRDefault="009402B3" w:rsidP="009402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sz w:val="24"/>
          <w:szCs w:val="24"/>
          <w:u w:color="FF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"/>
        <w:gridCol w:w="6193"/>
        <w:gridCol w:w="2411"/>
      </w:tblGrid>
      <w:tr w:rsidR="009402B3" w:rsidRPr="009402B3" w:rsidTr="00DD2D8D">
        <w:trPr>
          <w:trHeight w:val="808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 xml:space="preserve">№ </w:t>
            </w:r>
            <w:proofErr w:type="spellStart"/>
            <w:proofErr w:type="gramStart"/>
            <w:r w:rsidRPr="009402B3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п</w:t>
            </w:r>
            <w:proofErr w:type="spellEnd"/>
            <w:proofErr w:type="gramEnd"/>
            <w:r w:rsidRPr="009402B3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/</w:t>
            </w:r>
            <w:proofErr w:type="spellStart"/>
            <w:r w:rsidRPr="009402B3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п</w:t>
            </w:r>
            <w:proofErr w:type="spellEnd"/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Наименование организации, в отношении которой проведена независимая оценка качества за отчетный год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Значение показателя оценки качества по организации</w:t>
            </w:r>
          </w:p>
        </w:tc>
      </w:tr>
      <w:tr w:rsidR="009402B3" w:rsidRPr="009402B3" w:rsidTr="00D03095">
        <w:trPr>
          <w:jc w:val="center"/>
        </w:trPr>
        <w:tc>
          <w:tcPr>
            <w:tcW w:w="6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  <w:u w:color="FF0000"/>
                <w:lang w:eastAsia="en-US"/>
              </w:rPr>
              <w:t>Организации сферы культуры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  <w:u w:color="FF0000"/>
                <w:lang w:eastAsia="en-US"/>
              </w:rPr>
              <w:t>93,19</w:t>
            </w:r>
          </w:p>
        </w:tc>
      </w:tr>
      <w:tr w:rsidR="009402B3" w:rsidRPr="009402B3" w:rsidTr="00D03095"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1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.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u w:color="FF0000"/>
                <w:lang w:eastAsia="en-US"/>
              </w:rPr>
              <w:t xml:space="preserve">МБУ ДО «Эвенкийская районная детская школа искусств»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97,13</w:t>
            </w:r>
          </w:p>
        </w:tc>
      </w:tr>
      <w:tr w:rsidR="009402B3" w:rsidRPr="009402B3" w:rsidTr="00D03095"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2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.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u w:color="FF0000"/>
                <w:lang w:eastAsia="en-US"/>
              </w:rPr>
              <w:t>МБУ ДО «</w:t>
            </w:r>
            <w:proofErr w:type="spellStart"/>
            <w:r w:rsidRPr="009402B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u w:color="FF0000"/>
                <w:lang w:eastAsia="en-US"/>
              </w:rPr>
              <w:t>Ванаварская</w:t>
            </w:r>
            <w:proofErr w:type="spellEnd"/>
            <w:r w:rsidRPr="009402B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u w:color="FF0000"/>
                <w:lang w:eastAsia="en-US"/>
              </w:rPr>
              <w:t xml:space="preserve"> детская школа искусств»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98,50</w:t>
            </w:r>
          </w:p>
        </w:tc>
      </w:tr>
      <w:tr w:rsidR="009402B3" w:rsidRPr="009402B3" w:rsidTr="00D03095"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3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.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u w:color="FF0000"/>
                <w:lang w:eastAsia="en-US"/>
              </w:rPr>
              <w:t>МБУ ДО «Байкитская детская школа искусств»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98,70</w:t>
            </w:r>
          </w:p>
        </w:tc>
      </w:tr>
      <w:tr w:rsidR="009402B3" w:rsidRPr="009402B3" w:rsidTr="00D03095">
        <w:trPr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4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.</w:t>
            </w:r>
          </w:p>
        </w:tc>
        <w:tc>
          <w:tcPr>
            <w:tcW w:w="6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u w:color="FF0000"/>
                <w:lang w:eastAsia="en-US"/>
              </w:rPr>
              <w:t>МБУК «Байкитская клубная система»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B3" w:rsidRPr="009402B3" w:rsidRDefault="009402B3" w:rsidP="0094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</w:pPr>
            <w:r w:rsidRPr="009402B3">
              <w:rPr>
                <w:rFonts w:ascii="Times New Roman CYR" w:eastAsiaTheme="minorHAnsi" w:hAnsi="Times New Roman CYR" w:cs="Times New Roman CYR"/>
                <w:sz w:val="24"/>
                <w:szCs w:val="24"/>
                <w:u w:color="FF0000"/>
                <w:lang w:eastAsia="en-US"/>
              </w:rPr>
              <w:t>78,44</w:t>
            </w:r>
          </w:p>
        </w:tc>
      </w:tr>
    </w:tbl>
    <w:p w:rsidR="00290B68" w:rsidRPr="009402B3" w:rsidRDefault="00290B68" w:rsidP="00BA2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sectPr w:rsidR="00290B68" w:rsidRPr="009402B3" w:rsidSect="0068059C">
      <w:foot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D8" w:rsidRDefault="008920D8" w:rsidP="00EA7E47">
      <w:pPr>
        <w:spacing w:after="0" w:line="240" w:lineRule="auto"/>
      </w:pPr>
      <w:r>
        <w:separator/>
      </w:r>
    </w:p>
  </w:endnote>
  <w:endnote w:type="continuationSeparator" w:id="0">
    <w:p w:rsidR="008920D8" w:rsidRDefault="008920D8" w:rsidP="00EA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7313"/>
      <w:docPartObj>
        <w:docPartGallery w:val="Page Numbers (Bottom of Page)"/>
        <w:docPartUnique/>
      </w:docPartObj>
    </w:sdtPr>
    <w:sdtContent>
      <w:p w:rsidR="005A6302" w:rsidRDefault="005A6302">
        <w:pPr>
          <w:pStyle w:val="a8"/>
          <w:jc w:val="center"/>
        </w:pPr>
        <w:fldSimple w:instr=" PAGE   \* MERGEFORMAT ">
          <w:r w:rsidR="002F77B8">
            <w:rPr>
              <w:noProof/>
            </w:rPr>
            <w:t>20</w:t>
          </w:r>
        </w:fldSimple>
      </w:p>
    </w:sdtContent>
  </w:sdt>
  <w:p w:rsidR="005A6302" w:rsidRDefault="005A63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D8" w:rsidRDefault="008920D8" w:rsidP="00EA7E47">
      <w:pPr>
        <w:spacing w:after="0" w:line="240" w:lineRule="auto"/>
      </w:pPr>
      <w:r>
        <w:separator/>
      </w:r>
    </w:p>
  </w:footnote>
  <w:footnote w:type="continuationSeparator" w:id="0">
    <w:p w:rsidR="008920D8" w:rsidRDefault="008920D8" w:rsidP="00EA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3A35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B68"/>
    <w:rsid w:val="00054C99"/>
    <w:rsid w:val="000561F5"/>
    <w:rsid w:val="000574FB"/>
    <w:rsid w:val="00094E29"/>
    <w:rsid w:val="000A7F5E"/>
    <w:rsid w:val="000E0816"/>
    <w:rsid w:val="000E6343"/>
    <w:rsid w:val="000E6EF8"/>
    <w:rsid w:val="000F0671"/>
    <w:rsid w:val="000F4D87"/>
    <w:rsid w:val="000F7971"/>
    <w:rsid w:val="00106504"/>
    <w:rsid w:val="00127A6E"/>
    <w:rsid w:val="00153F9F"/>
    <w:rsid w:val="00157356"/>
    <w:rsid w:val="0017205F"/>
    <w:rsid w:val="0017780B"/>
    <w:rsid w:val="00192242"/>
    <w:rsid w:val="001E0E26"/>
    <w:rsid w:val="001E709A"/>
    <w:rsid w:val="001F3092"/>
    <w:rsid w:val="001F4EFF"/>
    <w:rsid w:val="001F6CD9"/>
    <w:rsid w:val="00224C78"/>
    <w:rsid w:val="00257E96"/>
    <w:rsid w:val="00290B68"/>
    <w:rsid w:val="002E30AC"/>
    <w:rsid w:val="002F77B8"/>
    <w:rsid w:val="00300B90"/>
    <w:rsid w:val="00316096"/>
    <w:rsid w:val="00320480"/>
    <w:rsid w:val="00343167"/>
    <w:rsid w:val="0034595F"/>
    <w:rsid w:val="00380413"/>
    <w:rsid w:val="003820EE"/>
    <w:rsid w:val="003A1211"/>
    <w:rsid w:val="003B3689"/>
    <w:rsid w:val="003B7751"/>
    <w:rsid w:val="003E480B"/>
    <w:rsid w:val="00401277"/>
    <w:rsid w:val="0041476F"/>
    <w:rsid w:val="004206A6"/>
    <w:rsid w:val="004714FC"/>
    <w:rsid w:val="004745C2"/>
    <w:rsid w:val="004A644C"/>
    <w:rsid w:val="004B06F4"/>
    <w:rsid w:val="004B18CF"/>
    <w:rsid w:val="004D730C"/>
    <w:rsid w:val="004F1E6D"/>
    <w:rsid w:val="00500CB4"/>
    <w:rsid w:val="005152B6"/>
    <w:rsid w:val="0052121B"/>
    <w:rsid w:val="00542EA0"/>
    <w:rsid w:val="0055597A"/>
    <w:rsid w:val="0056114F"/>
    <w:rsid w:val="00563FED"/>
    <w:rsid w:val="00580788"/>
    <w:rsid w:val="005836AD"/>
    <w:rsid w:val="0059064D"/>
    <w:rsid w:val="005A6302"/>
    <w:rsid w:val="005D2825"/>
    <w:rsid w:val="0062570E"/>
    <w:rsid w:val="00656790"/>
    <w:rsid w:val="00674585"/>
    <w:rsid w:val="0068059C"/>
    <w:rsid w:val="006904E6"/>
    <w:rsid w:val="006A7B72"/>
    <w:rsid w:val="006B77D1"/>
    <w:rsid w:val="006D3F0F"/>
    <w:rsid w:val="006D68A9"/>
    <w:rsid w:val="00707F48"/>
    <w:rsid w:val="007129D9"/>
    <w:rsid w:val="00715B8A"/>
    <w:rsid w:val="00724B97"/>
    <w:rsid w:val="007A3495"/>
    <w:rsid w:val="007A3F96"/>
    <w:rsid w:val="007B4C9F"/>
    <w:rsid w:val="007B7047"/>
    <w:rsid w:val="007C20D8"/>
    <w:rsid w:val="007D308C"/>
    <w:rsid w:val="007D41D9"/>
    <w:rsid w:val="008258EB"/>
    <w:rsid w:val="00827F88"/>
    <w:rsid w:val="00833986"/>
    <w:rsid w:val="00841567"/>
    <w:rsid w:val="008465DD"/>
    <w:rsid w:val="008619B2"/>
    <w:rsid w:val="008913C6"/>
    <w:rsid w:val="008920D8"/>
    <w:rsid w:val="008B56D1"/>
    <w:rsid w:val="008D317A"/>
    <w:rsid w:val="008E6EFD"/>
    <w:rsid w:val="0091004D"/>
    <w:rsid w:val="00923656"/>
    <w:rsid w:val="00932620"/>
    <w:rsid w:val="00932869"/>
    <w:rsid w:val="009402B3"/>
    <w:rsid w:val="00940D09"/>
    <w:rsid w:val="009473F9"/>
    <w:rsid w:val="00952322"/>
    <w:rsid w:val="00971B6C"/>
    <w:rsid w:val="00992DE3"/>
    <w:rsid w:val="009A3E29"/>
    <w:rsid w:val="009A4710"/>
    <w:rsid w:val="009A5716"/>
    <w:rsid w:val="009A630B"/>
    <w:rsid w:val="009B062B"/>
    <w:rsid w:val="009B14B1"/>
    <w:rsid w:val="009C2021"/>
    <w:rsid w:val="009D4434"/>
    <w:rsid w:val="009D5B36"/>
    <w:rsid w:val="00A14B55"/>
    <w:rsid w:val="00A44AFE"/>
    <w:rsid w:val="00A46DC5"/>
    <w:rsid w:val="00A62C45"/>
    <w:rsid w:val="00A710EA"/>
    <w:rsid w:val="00A8375D"/>
    <w:rsid w:val="00A905A1"/>
    <w:rsid w:val="00A947AF"/>
    <w:rsid w:val="00AA2544"/>
    <w:rsid w:val="00AA283F"/>
    <w:rsid w:val="00AA7E8E"/>
    <w:rsid w:val="00AC5322"/>
    <w:rsid w:val="00AF32AC"/>
    <w:rsid w:val="00B07E4E"/>
    <w:rsid w:val="00B17B8A"/>
    <w:rsid w:val="00B26673"/>
    <w:rsid w:val="00B36ED1"/>
    <w:rsid w:val="00B46574"/>
    <w:rsid w:val="00B53B8E"/>
    <w:rsid w:val="00B623ED"/>
    <w:rsid w:val="00B7734C"/>
    <w:rsid w:val="00B8508F"/>
    <w:rsid w:val="00BA14EB"/>
    <w:rsid w:val="00BA2774"/>
    <w:rsid w:val="00BC6BC0"/>
    <w:rsid w:val="00C04A91"/>
    <w:rsid w:val="00C106AC"/>
    <w:rsid w:val="00C24379"/>
    <w:rsid w:val="00C4442E"/>
    <w:rsid w:val="00C46389"/>
    <w:rsid w:val="00C61869"/>
    <w:rsid w:val="00C7785A"/>
    <w:rsid w:val="00C836C0"/>
    <w:rsid w:val="00C92C77"/>
    <w:rsid w:val="00C94B67"/>
    <w:rsid w:val="00C95D97"/>
    <w:rsid w:val="00CA2F36"/>
    <w:rsid w:val="00CA4DC3"/>
    <w:rsid w:val="00CC01CC"/>
    <w:rsid w:val="00CC53BC"/>
    <w:rsid w:val="00CD3FE5"/>
    <w:rsid w:val="00CE44E9"/>
    <w:rsid w:val="00CF3A68"/>
    <w:rsid w:val="00D03095"/>
    <w:rsid w:val="00D0388C"/>
    <w:rsid w:val="00D06E36"/>
    <w:rsid w:val="00D23F33"/>
    <w:rsid w:val="00DA576A"/>
    <w:rsid w:val="00DD2D8D"/>
    <w:rsid w:val="00DF2602"/>
    <w:rsid w:val="00E049D8"/>
    <w:rsid w:val="00E204BD"/>
    <w:rsid w:val="00E3495E"/>
    <w:rsid w:val="00E36945"/>
    <w:rsid w:val="00E3732C"/>
    <w:rsid w:val="00E67478"/>
    <w:rsid w:val="00E707AE"/>
    <w:rsid w:val="00E7606B"/>
    <w:rsid w:val="00EA64F1"/>
    <w:rsid w:val="00EA6E0E"/>
    <w:rsid w:val="00EA7E47"/>
    <w:rsid w:val="00ED4148"/>
    <w:rsid w:val="00ED660D"/>
    <w:rsid w:val="00ED6CB6"/>
    <w:rsid w:val="00EE2F90"/>
    <w:rsid w:val="00F13A5F"/>
    <w:rsid w:val="00F313AC"/>
    <w:rsid w:val="00F411BD"/>
    <w:rsid w:val="00F42FB0"/>
    <w:rsid w:val="00F656CC"/>
    <w:rsid w:val="00F753CF"/>
    <w:rsid w:val="00FA762E"/>
    <w:rsid w:val="00FC5D83"/>
    <w:rsid w:val="00FD1723"/>
    <w:rsid w:val="00FE3E99"/>
    <w:rsid w:val="00FE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6096"/>
    <w:rPr>
      <w:rFonts w:ascii="Tahoma" w:hAnsi="Tahoma" w:cs="Times New Roman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5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D6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A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7E4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A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E4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kiya-r04.gosweb.gosuslugi.ru/deyatelnost/napravleniya-deyatelnosti/ekonomika/doklad-o-dostignutyh-znacheniyah-pokazatele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FB3BF-8B32-450E-B5CF-4E3969EA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36</Pages>
  <Words>14515</Words>
  <Characters>82739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tanyginajv</dc:creator>
  <cp:lastModifiedBy>tanyginajv</cp:lastModifiedBy>
  <cp:revision>153</cp:revision>
  <dcterms:created xsi:type="dcterms:W3CDTF">2024-04-26T04:35:00Z</dcterms:created>
  <dcterms:modified xsi:type="dcterms:W3CDTF">2025-04-30T09:02:00Z</dcterms:modified>
</cp:coreProperties>
</file>