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33984" w14:textId="77777777" w:rsidR="00E870AB" w:rsidRDefault="00E870AB" w:rsidP="00E87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Утвержден</w:t>
      </w:r>
      <w:r w:rsidR="00762EEF"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ем</w:t>
      </w:r>
      <w:r w:rsidR="00762EEF"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Эвенкийского </w:t>
      </w:r>
    </w:p>
    <w:p w14:paraId="404B079F" w14:textId="6FBA8AFF" w:rsidR="00762EEF" w:rsidRPr="00762EEF" w:rsidRDefault="00762EEF" w:rsidP="00E87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районного Совета депутатов                                                                                                                                                                                                                                   от </w:t>
      </w:r>
      <w:r w:rsidR="00DE7094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марта 20</w:t>
      </w:r>
      <w:r w:rsidR="006046E1">
        <w:rPr>
          <w:rFonts w:ascii="Times New Roman" w:eastAsia="Times New Roman" w:hAnsi="Times New Roman" w:cs="Times New Roman"/>
          <w:bCs/>
          <w:sz w:val="20"/>
          <w:szCs w:val="20"/>
        </w:rPr>
        <w:t>20</w:t>
      </w: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>года  №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4-</w:t>
      </w:r>
      <w:r w:rsidR="00DE7094">
        <w:rPr>
          <w:rFonts w:ascii="Times New Roman" w:eastAsia="Times New Roman" w:hAnsi="Times New Roman" w:cs="Times New Roman"/>
          <w:bCs/>
          <w:sz w:val="20"/>
          <w:szCs w:val="20"/>
        </w:rPr>
        <w:t>180</w:t>
      </w:r>
      <w:r w:rsidR="00A9659F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DE7094">
        <w:rPr>
          <w:rFonts w:ascii="Times New Roman" w:eastAsia="Times New Roman" w:hAnsi="Times New Roman" w:cs="Times New Roman"/>
          <w:bCs/>
          <w:sz w:val="20"/>
          <w:szCs w:val="20"/>
        </w:rPr>
        <w:t>-17</w:t>
      </w:r>
    </w:p>
    <w:p w14:paraId="1970371B" w14:textId="77777777"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14:paraId="00FEC035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482069F9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Эвенкийского</w:t>
      </w:r>
    </w:p>
    <w:p w14:paraId="1E8E628E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муниципального района за 201</w:t>
      </w:r>
      <w:r w:rsidR="006046E1">
        <w:rPr>
          <w:rFonts w:ascii="Times New Roman" w:hAnsi="Times New Roman" w:cs="Times New Roman"/>
          <w:b/>
          <w:sz w:val="28"/>
          <w:szCs w:val="28"/>
        </w:rPr>
        <w:t>9</w:t>
      </w:r>
      <w:r w:rsidRPr="00CC44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767B282" w14:textId="77777777" w:rsidR="00D25F1E" w:rsidRPr="00D25F1E" w:rsidRDefault="00D25F1E" w:rsidP="00D25F1E">
      <w:pPr>
        <w:pStyle w:val="ad"/>
        <w:ind w:hanging="436"/>
        <w:jc w:val="both"/>
        <w:rPr>
          <w:b/>
          <w:szCs w:val="28"/>
        </w:rPr>
      </w:pPr>
    </w:p>
    <w:p w14:paraId="403805A9" w14:textId="77777777" w:rsidR="000A30FB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</w:t>
      </w:r>
    </w:p>
    <w:p w14:paraId="403DF578" w14:textId="77777777" w:rsidR="003B6718" w:rsidRDefault="000A30FB" w:rsidP="00D4394F">
      <w:pPr>
        <w:pStyle w:val="ad"/>
        <w:ind w:hanging="43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Настоящий отчет о деятельности Контрольно-счетной палаты Эвенкийского муниципального района и об итогах осуществления внешнего муниципального финансового контроля за управлением муниципальными ресурсами подготовлен на основании требований статьи 19 </w:t>
      </w:r>
      <w:r w:rsidR="003B6718">
        <w:rPr>
          <w:szCs w:val="28"/>
        </w:rPr>
        <w:t xml:space="preserve"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24682A">
        <w:rPr>
          <w:szCs w:val="28"/>
        </w:rPr>
        <w:t>от 07.02.2011г.</w:t>
      </w:r>
      <w:r w:rsidR="0024682A" w:rsidRPr="0024682A">
        <w:rPr>
          <w:szCs w:val="28"/>
        </w:rPr>
        <w:t xml:space="preserve"> </w:t>
      </w:r>
      <w:r w:rsidR="003B6718">
        <w:rPr>
          <w:szCs w:val="28"/>
        </w:rPr>
        <w:t xml:space="preserve">№ 6-ФЗ (далее – Федеральный закон № 6-ФЗ) и </w:t>
      </w:r>
      <w:r w:rsidR="003B6718" w:rsidRPr="00D25F1E">
        <w:rPr>
          <w:szCs w:val="28"/>
        </w:rPr>
        <w:t xml:space="preserve">статьи 25 Положения о Контрольно-счетной палате Эвенкийского муниципального района, утвержденного решением Эвенкийского районного Совета депутатов  от 27.06.2014 года № 3-1315-19 </w:t>
      </w:r>
      <w:r w:rsidR="003B6718">
        <w:rPr>
          <w:szCs w:val="28"/>
        </w:rPr>
        <w:t>(далее – Положение о Контрольно-Счетной палате)</w:t>
      </w:r>
      <w:r w:rsidR="003B6718" w:rsidRPr="00D25F1E">
        <w:rPr>
          <w:szCs w:val="28"/>
        </w:rPr>
        <w:t>.</w:t>
      </w:r>
    </w:p>
    <w:p w14:paraId="23FEC49A" w14:textId="77777777" w:rsidR="00D25F1E" w:rsidRDefault="00D4394F" w:rsidP="000A30FB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Работа</w:t>
      </w:r>
      <w:r w:rsidR="00BF6B16">
        <w:rPr>
          <w:szCs w:val="28"/>
        </w:rPr>
        <w:t xml:space="preserve"> Контрольно-счетной</w:t>
      </w:r>
      <w:r w:rsidR="00D25F1E" w:rsidRPr="00D25F1E">
        <w:rPr>
          <w:szCs w:val="28"/>
        </w:rPr>
        <w:t xml:space="preserve"> палаты</w:t>
      </w:r>
      <w:r w:rsidR="006E18AD">
        <w:rPr>
          <w:szCs w:val="28"/>
        </w:rPr>
        <w:t xml:space="preserve"> </w:t>
      </w:r>
      <w:r w:rsidR="00AF66E3">
        <w:rPr>
          <w:szCs w:val="28"/>
        </w:rPr>
        <w:t>Эвенкийского муниципального района</w:t>
      </w:r>
      <w:r>
        <w:rPr>
          <w:szCs w:val="28"/>
        </w:rPr>
        <w:t xml:space="preserve"> </w:t>
      </w:r>
      <w:r w:rsidR="006E18AD">
        <w:rPr>
          <w:szCs w:val="28"/>
        </w:rPr>
        <w:t>(далее КСП)</w:t>
      </w:r>
      <w:r w:rsidR="00D25F1E" w:rsidRPr="00D25F1E">
        <w:rPr>
          <w:szCs w:val="28"/>
        </w:rPr>
        <w:t xml:space="preserve"> </w:t>
      </w:r>
      <w:r>
        <w:rPr>
          <w:szCs w:val="28"/>
        </w:rPr>
        <w:t xml:space="preserve">при реализации поставленных перед ней задач строится на </w:t>
      </w:r>
      <w:r w:rsidR="00D25F1E" w:rsidRPr="00D25F1E">
        <w:rPr>
          <w:szCs w:val="28"/>
        </w:rPr>
        <w:t xml:space="preserve">принципах законности, независимости, объективности, эффективности, </w:t>
      </w:r>
      <w:r>
        <w:rPr>
          <w:szCs w:val="28"/>
        </w:rPr>
        <w:t>соблюдения профессиональной этики и гласности.</w:t>
      </w:r>
      <w:r w:rsidR="00D25F1E" w:rsidRPr="00D25F1E">
        <w:rPr>
          <w:szCs w:val="28"/>
        </w:rPr>
        <w:t xml:space="preserve"> </w:t>
      </w:r>
    </w:p>
    <w:p w14:paraId="7FC910C6" w14:textId="77777777" w:rsidR="00D4394F" w:rsidRDefault="00D4394F" w:rsidP="000A30FB">
      <w:pPr>
        <w:pStyle w:val="ad"/>
        <w:ind w:firstLine="708"/>
        <w:jc w:val="both"/>
        <w:rPr>
          <w:szCs w:val="28"/>
        </w:rPr>
      </w:pPr>
      <w:r>
        <w:rPr>
          <w:szCs w:val="28"/>
        </w:rPr>
        <w:t xml:space="preserve">В отчетном периоде </w:t>
      </w:r>
      <w:r w:rsidR="00CC61E7">
        <w:rPr>
          <w:szCs w:val="28"/>
        </w:rPr>
        <w:t xml:space="preserve">при осуществлении </w:t>
      </w:r>
      <w:r>
        <w:rPr>
          <w:szCs w:val="28"/>
        </w:rPr>
        <w:t>внешн</w:t>
      </w:r>
      <w:r w:rsidR="00CC61E7">
        <w:rPr>
          <w:szCs w:val="28"/>
        </w:rPr>
        <w:t>его</w:t>
      </w:r>
      <w:r>
        <w:rPr>
          <w:szCs w:val="28"/>
        </w:rPr>
        <w:t xml:space="preserve"> муниципальн</w:t>
      </w:r>
      <w:r w:rsidR="00CC61E7">
        <w:rPr>
          <w:szCs w:val="28"/>
        </w:rPr>
        <w:t>ого</w:t>
      </w:r>
      <w:r>
        <w:rPr>
          <w:szCs w:val="28"/>
        </w:rPr>
        <w:t xml:space="preserve"> финансов</w:t>
      </w:r>
      <w:r w:rsidR="00CC61E7">
        <w:rPr>
          <w:szCs w:val="28"/>
        </w:rPr>
        <w:t>ого</w:t>
      </w:r>
      <w:r>
        <w:rPr>
          <w:szCs w:val="28"/>
        </w:rPr>
        <w:t xml:space="preserve"> контрол</w:t>
      </w:r>
      <w:r w:rsidR="00CC61E7">
        <w:rPr>
          <w:szCs w:val="28"/>
        </w:rPr>
        <w:t xml:space="preserve">я Контрольно-счетная палата руководствуется Конституцией РФ, законодательством Российской Федерации, законодательством Красноярского края, нормативными правовыми актами Эвенкийского муниципального района, а также стандартами внешнего муниципального финансового контроля </w:t>
      </w:r>
      <w:r w:rsidR="00AF66E3">
        <w:rPr>
          <w:szCs w:val="28"/>
        </w:rPr>
        <w:t>КСП</w:t>
      </w:r>
      <w:r w:rsidR="00CC61E7">
        <w:rPr>
          <w:szCs w:val="28"/>
        </w:rPr>
        <w:t>.</w:t>
      </w:r>
      <w:r>
        <w:rPr>
          <w:szCs w:val="28"/>
        </w:rPr>
        <w:t xml:space="preserve"> </w:t>
      </w:r>
    </w:p>
    <w:p w14:paraId="5F956B0C" w14:textId="77777777" w:rsidR="00D97995" w:rsidRPr="00D25F1E" w:rsidRDefault="00CC61E7" w:rsidP="00D97995">
      <w:pPr>
        <w:pStyle w:val="ad"/>
        <w:ind w:firstLine="708"/>
        <w:jc w:val="both"/>
        <w:rPr>
          <w:szCs w:val="28"/>
        </w:rPr>
      </w:pPr>
      <w:r>
        <w:rPr>
          <w:szCs w:val="28"/>
        </w:rPr>
        <w:t>Классификация выявленных нарушений по результатам контрольных и экспертно-аналитических мероприятий основывается на принципах единообразия.</w:t>
      </w:r>
    </w:p>
    <w:p w14:paraId="02389397" w14:textId="376F0242" w:rsid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В соответствии с </w:t>
      </w:r>
      <w:r w:rsidR="00F52886">
        <w:rPr>
          <w:szCs w:val="28"/>
        </w:rPr>
        <w:t>Положением</w:t>
      </w:r>
      <w:r w:rsidRPr="00D25F1E">
        <w:rPr>
          <w:szCs w:val="28"/>
        </w:rPr>
        <w:t xml:space="preserve"> </w:t>
      </w:r>
      <w:r w:rsidR="006E18AD">
        <w:rPr>
          <w:szCs w:val="28"/>
        </w:rPr>
        <w:t>о</w:t>
      </w:r>
      <w:r w:rsidRPr="00D25F1E">
        <w:rPr>
          <w:szCs w:val="28"/>
        </w:rPr>
        <w:t xml:space="preserve"> Контрольно-счетной палате работа контрольного органа была направлена на предотвращение и выявление нарушений при формировании и исполнении доходны</w:t>
      </w:r>
      <w:r w:rsidR="00BF6B16">
        <w:rPr>
          <w:szCs w:val="28"/>
        </w:rPr>
        <w:t xml:space="preserve">х и расходных </w:t>
      </w:r>
      <w:r w:rsidR="00E870AB">
        <w:rPr>
          <w:szCs w:val="28"/>
        </w:rPr>
        <w:t>статей районного</w:t>
      </w:r>
      <w:r w:rsidRPr="00D25F1E">
        <w:rPr>
          <w:szCs w:val="28"/>
        </w:rPr>
        <w:t xml:space="preserve"> бюджета, бюджетов поселений, а это значит эффективное, грамотное и ответственное отношение к бюджетным средствам.</w:t>
      </w:r>
    </w:p>
    <w:p w14:paraId="4F82AE5E" w14:textId="77777777" w:rsidR="00125965" w:rsidRPr="00125965" w:rsidRDefault="00125965" w:rsidP="0012596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>Контрольно-Счетной палатой в рамках своих полномочий, определены следующие основные приоритетные направления как экспертно-аналитической, так и контрольной деятельности:</w:t>
      </w:r>
    </w:p>
    <w:p w14:paraId="636833ED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содействие повышению эффективности управления муниципальными ресурсами, в том числе путем соотнесения документов стратегического развития с принимаемыми муниципальными программами, их ресурсным обеспечением и фактическими результатами исполнения; </w:t>
      </w:r>
    </w:p>
    <w:p w14:paraId="2F9CEB88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содействие формированию стратегического видения у руководства органов местного самоуправления муниципального района посредством </w:t>
      </w:r>
      <w:r w:rsidRPr="0012596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комплексной перспективной картины тенденций и возможных рисков развития муниципального района; </w:t>
      </w:r>
    </w:p>
    <w:p w14:paraId="3204917B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содействие укреплению культуры публичности и открытости процессов принятия управленческих решений, управления муниципальными ресурсами, экономическими отношениями; </w:t>
      </w:r>
    </w:p>
    <w:p w14:paraId="744DE3B0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 xml:space="preserve">- повышение качества и эффективности деятельности </w:t>
      </w:r>
      <w:r w:rsidR="00AF66E3">
        <w:rPr>
          <w:rFonts w:ascii="Times New Roman" w:hAnsi="Times New Roman" w:cs="Times New Roman"/>
          <w:sz w:val="28"/>
          <w:szCs w:val="28"/>
        </w:rPr>
        <w:t>КСП</w:t>
      </w:r>
      <w:r w:rsidRPr="00125965">
        <w:rPr>
          <w:rFonts w:ascii="Times New Roman" w:hAnsi="Times New Roman" w:cs="Times New Roman"/>
          <w:sz w:val="28"/>
          <w:szCs w:val="28"/>
        </w:rPr>
        <w:t>.</w:t>
      </w:r>
    </w:p>
    <w:p w14:paraId="6B24C621" w14:textId="77777777" w:rsidR="00125965" w:rsidRPr="00125965" w:rsidRDefault="00125965" w:rsidP="00D4394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65">
        <w:rPr>
          <w:rFonts w:ascii="Times New Roman" w:hAnsi="Times New Roman" w:cs="Times New Roman"/>
          <w:sz w:val="28"/>
          <w:szCs w:val="28"/>
        </w:rPr>
        <w:t>При осуществлении экспертно-аналитической деятельности центральным вопросом становится не столько определение целевого и законного характера расходования средств, сколько целесообразность и эффективность управленческих решений, принятых в связи с разработкой и реализацией тех или иных планов развития территории. В связи с чем, экспертно-аналитическое направление в деятельности Счетной палаты является приоритетным, поскольку активную позицию в муниципальном контроле наряду с традиционным аудитом эффективности занимает стратегический аудит, который предполагает отслеживание достижения целей и задач, определенных стратегией социально-экономического развития муниципального района. Таким образом, планы работы счетной палатой формируются исходя из имеющейся собственной базы данных и проблемных областей и гипотез, которые предстоит проверить.</w:t>
      </w:r>
    </w:p>
    <w:p w14:paraId="7CD1CF1B" w14:textId="77777777" w:rsidR="0041393B" w:rsidRPr="00AD5949" w:rsidRDefault="00684F42" w:rsidP="004E21B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F1E" w:rsidRPr="00AD5949">
        <w:rPr>
          <w:rFonts w:ascii="Times New Roman" w:hAnsi="Times New Roman" w:cs="Times New Roman"/>
          <w:sz w:val="28"/>
          <w:szCs w:val="28"/>
        </w:rPr>
        <w:t>За 201</w:t>
      </w:r>
      <w:r w:rsidR="006046E1" w:rsidRPr="00AD5949">
        <w:rPr>
          <w:rFonts w:ascii="Times New Roman" w:hAnsi="Times New Roman" w:cs="Times New Roman"/>
          <w:sz w:val="28"/>
          <w:szCs w:val="28"/>
        </w:rPr>
        <w:t>9</w:t>
      </w:r>
      <w:r w:rsidR="00D25F1E" w:rsidRPr="00AD5949">
        <w:rPr>
          <w:rFonts w:ascii="Times New Roman" w:hAnsi="Times New Roman" w:cs="Times New Roman"/>
          <w:sz w:val="28"/>
          <w:szCs w:val="28"/>
        </w:rPr>
        <w:t xml:space="preserve"> год Контрольно-счетная палата осуществила комплекс проверок, результаты которых позволили оценить действенность мер, принимаемых органами исполнительной власти по эффективности использования бюджетных средств. За прошедший год Контрольно-счетной палатой</w:t>
      </w:r>
      <w:r w:rsidR="00090A64" w:rsidRPr="00AD5949">
        <w:rPr>
          <w:rFonts w:ascii="Times New Roman" w:hAnsi="Times New Roman" w:cs="Times New Roman"/>
          <w:sz w:val="28"/>
          <w:szCs w:val="28"/>
        </w:rPr>
        <w:t>:</w:t>
      </w:r>
      <w:r w:rsidR="00D25F1E" w:rsidRPr="00AD5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32709" w14:textId="77777777" w:rsidR="005C4698" w:rsidRPr="00AD5949" w:rsidRDefault="0041393B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>- проведено</w:t>
      </w:r>
      <w:r w:rsidR="005C4698"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090A64" w:rsidRPr="00AD5949">
        <w:rPr>
          <w:rFonts w:ascii="Times New Roman" w:hAnsi="Times New Roman" w:cs="Times New Roman"/>
          <w:sz w:val="28"/>
          <w:szCs w:val="28"/>
        </w:rPr>
        <w:t>4</w:t>
      </w:r>
      <w:r w:rsidR="005C4698" w:rsidRPr="00AD594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1E79DD" w:rsidRPr="00AD5949">
        <w:rPr>
          <w:rFonts w:ascii="Times New Roman" w:hAnsi="Times New Roman" w:cs="Times New Roman"/>
          <w:sz w:val="28"/>
          <w:szCs w:val="28"/>
        </w:rPr>
        <w:t>й</w:t>
      </w:r>
      <w:r w:rsidR="005C4698" w:rsidRPr="00AD59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FD5138" w14:textId="77777777" w:rsidR="00094002" w:rsidRPr="00AD5949" w:rsidRDefault="005C4698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 xml:space="preserve">- </w:t>
      </w:r>
      <w:r w:rsidR="005455AC" w:rsidRPr="00AD5949">
        <w:rPr>
          <w:rFonts w:ascii="Times New Roman" w:hAnsi="Times New Roman" w:cs="Times New Roman"/>
          <w:sz w:val="28"/>
          <w:szCs w:val="28"/>
        </w:rPr>
        <w:t>окончено</w:t>
      </w:r>
      <w:r w:rsidRPr="00AD594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</w:t>
      </w:r>
      <w:r w:rsidR="00094002" w:rsidRPr="00AD5949">
        <w:rPr>
          <w:rFonts w:ascii="Times New Roman" w:hAnsi="Times New Roman" w:cs="Times New Roman"/>
          <w:sz w:val="28"/>
          <w:szCs w:val="28"/>
        </w:rPr>
        <w:t xml:space="preserve"> «Анализ и исполнение муниципальной программы </w:t>
      </w:r>
      <w:r w:rsidR="009D27E9" w:rsidRPr="00AD5949">
        <w:rPr>
          <w:rFonts w:ascii="Times New Roman" w:hAnsi="Times New Roman" w:cs="Times New Roman"/>
          <w:sz w:val="28"/>
          <w:szCs w:val="28"/>
        </w:rPr>
        <w:t>Эвенкийского муниципального района «Развитие образования Эвенкийского муниципального района»</w:t>
      </w:r>
      <w:r w:rsidR="00094002" w:rsidRPr="00AD5949">
        <w:rPr>
          <w:rFonts w:ascii="Times New Roman" w:hAnsi="Times New Roman" w:cs="Times New Roman"/>
          <w:sz w:val="28"/>
          <w:szCs w:val="28"/>
        </w:rPr>
        <w:t xml:space="preserve"> за 201</w:t>
      </w:r>
      <w:r w:rsidR="009D27E9" w:rsidRPr="00AD5949">
        <w:rPr>
          <w:rFonts w:ascii="Times New Roman" w:hAnsi="Times New Roman" w:cs="Times New Roman"/>
          <w:sz w:val="28"/>
          <w:szCs w:val="28"/>
        </w:rPr>
        <w:t>6-</w:t>
      </w:r>
      <w:r w:rsidR="00094002" w:rsidRPr="00AD5949">
        <w:rPr>
          <w:rFonts w:ascii="Times New Roman" w:hAnsi="Times New Roman" w:cs="Times New Roman"/>
          <w:sz w:val="28"/>
          <w:szCs w:val="28"/>
        </w:rPr>
        <w:t>201</w:t>
      </w:r>
      <w:r w:rsidR="009D27E9" w:rsidRPr="00AD5949">
        <w:rPr>
          <w:rFonts w:ascii="Times New Roman" w:hAnsi="Times New Roman" w:cs="Times New Roman"/>
          <w:sz w:val="28"/>
          <w:szCs w:val="28"/>
        </w:rPr>
        <w:t>7</w:t>
      </w:r>
      <w:r w:rsidR="00094002" w:rsidRPr="00AD5949">
        <w:rPr>
          <w:rFonts w:ascii="Times New Roman" w:hAnsi="Times New Roman" w:cs="Times New Roman"/>
          <w:sz w:val="28"/>
          <w:szCs w:val="28"/>
        </w:rPr>
        <w:t xml:space="preserve"> годы</w:t>
      </w:r>
      <w:r w:rsidR="005455AC" w:rsidRPr="00AD5949">
        <w:rPr>
          <w:rFonts w:ascii="Times New Roman" w:hAnsi="Times New Roman" w:cs="Times New Roman"/>
          <w:sz w:val="28"/>
          <w:szCs w:val="28"/>
        </w:rPr>
        <w:t xml:space="preserve">. </w:t>
      </w:r>
      <w:r w:rsidR="00D25F1E" w:rsidRPr="00AD5949">
        <w:rPr>
          <w:rFonts w:ascii="Times New Roman" w:hAnsi="Times New Roman" w:cs="Times New Roman"/>
          <w:sz w:val="28"/>
          <w:szCs w:val="28"/>
        </w:rPr>
        <w:t>Проверк</w:t>
      </w:r>
      <w:r w:rsidR="00094002" w:rsidRPr="00AD5949">
        <w:rPr>
          <w:rFonts w:ascii="Times New Roman" w:hAnsi="Times New Roman" w:cs="Times New Roman"/>
          <w:sz w:val="28"/>
          <w:szCs w:val="28"/>
        </w:rPr>
        <w:t>ой</w:t>
      </w:r>
      <w:r w:rsidR="00D25F1E"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6E18AD" w:rsidRPr="00AD5949">
        <w:rPr>
          <w:rFonts w:ascii="Times New Roman" w:hAnsi="Times New Roman" w:cs="Times New Roman"/>
          <w:sz w:val="28"/>
          <w:szCs w:val="28"/>
        </w:rPr>
        <w:t>в 201</w:t>
      </w:r>
      <w:r w:rsidR="005455AC" w:rsidRPr="00AD5949">
        <w:rPr>
          <w:rFonts w:ascii="Times New Roman" w:hAnsi="Times New Roman" w:cs="Times New Roman"/>
          <w:sz w:val="28"/>
          <w:szCs w:val="28"/>
        </w:rPr>
        <w:t>9</w:t>
      </w:r>
      <w:r w:rsidR="006E18AD" w:rsidRPr="00AD59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5F1E" w:rsidRPr="00AD5949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5455AC" w:rsidRPr="00AD5949">
        <w:rPr>
          <w:rFonts w:ascii="Times New Roman" w:hAnsi="Times New Roman" w:cs="Times New Roman"/>
          <w:sz w:val="28"/>
          <w:szCs w:val="28"/>
        </w:rPr>
        <w:t>5</w:t>
      </w:r>
      <w:r w:rsidR="00094002"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D25F1E" w:rsidRPr="00AD5949">
        <w:rPr>
          <w:rFonts w:ascii="Times New Roman" w:hAnsi="Times New Roman" w:cs="Times New Roman"/>
          <w:sz w:val="28"/>
          <w:szCs w:val="28"/>
        </w:rPr>
        <w:t>объект</w:t>
      </w:r>
      <w:r w:rsidR="005455AC" w:rsidRPr="00AD5949">
        <w:rPr>
          <w:rFonts w:ascii="Times New Roman" w:hAnsi="Times New Roman" w:cs="Times New Roman"/>
          <w:sz w:val="28"/>
          <w:szCs w:val="28"/>
        </w:rPr>
        <w:t>ов</w:t>
      </w:r>
      <w:r w:rsidR="00094002"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5455AC" w:rsidRPr="00AD5949">
        <w:rPr>
          <w:rFonts w:ascii="Times New Roman" w:hAnsi="Times New Roman" w:cs="Times New Roman"/>
          <w:sz w:val="28"/>
          <w:szCs w:val="28"/>
        </w:rPr>
        <w:t>участвующих в программе</w:t>
      </w:r>
      <w:r w:rsidR="00090A64" w:rsidRPr="00AD5949">
        <w:rPr>
          <w:rFonts w:ascii="Times New Roman" w:hAnsi="Times New Roman" w:cs="Times New Roman"/>
          <w:sz w:val="28"/>
          <w:szCs w:val="28"/>
        </w:rPr>
        <w:t xml:space="preserve"> (в 2018 году по данному мероприятию охвачено 42 бюджетополучателя</w:t>
      </w:r>
      <w:r w:rsidR="00AD5949" w:rsidRPr="00AD5949">
        <w:rPr>
          <w:rFonts w:ascii="Times New Roman" w:hAnsi="Times New Roman" w:cs="Times New Roman"/>
          <w:sz w:val="28"/>
          <w:szCs w:val="28"/>
        </w:rPr>
        <w:t>, в 2019 году – 5 бюджетополучателей</w:t>
      </w:r>
      <w:r w:rsidR="00090A64" w:rsidRPr="00AD5949">
        <w:rPr>
          <w:rFonts w:ascii="Times New Roman" w:hAnsi="Times New Roman" w:cs="Times New Roman"/>
          <w:sz w:val="28"/>
          <w:szCs w:val="28"/>
        </w:rPr>
        <w:t>)</w:t>
      </w:r>
      <w:r w:rsidR="0022617B" w:rsidRPr="00AD5949">
        <w:rPr>
          <w:rFonts w:ascii="Times New Roman" w:hAnsi="Times New Roman" w:cs="Times New Roman"/>
          <w:sz w:val="28"/>
          <w:szCs w:val="28"/>
        </w:rPr>
        <w:t>.</w:t>
      </w:r>
    </w:p>
    <w:p w14:paraId="5021C016" w14:textId="77777777" w:rsidR="0022617B" w:rsidRPr="00AD5949" w:rsidRDefault="0022617B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2F7AA" w14:textId="77777777" w:rsidR="00D25F1E" w:rsidRPr="00AD5949" w:rsidRDefault="00D25F1E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094002" w:rsidRPr="00AD5949">
        <w:rPr>
          <w:rFonts w:ascii="Times New Roman" w:hAnsi="Times New Roman" w:cs="Times New Roman"/>
          <w:color w:val="000000"/>
          <w:sz w:val="28"/>
          <w:szCs w:val="28"/>
        </w:rPr>
        <w:t>палатой по материалам проверок</w:t>
      </w:r>
      <w:r w:rsidRPr="00AD594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094002" w:rsidRPr="00AD594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Pr="00AD5949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представления. Материалы</w:t>
      </w:r>
      <w:r w:rsidRPr="00AD5949">
        <w:rPr>
          <w:rFonts w:ascii="Times New Roman" w:hAnsi="Times New Roman" w:cs="Times New Roman"/>
          <w:sz w:val="28"/>
          <w:szCs w:val="28"/>
        </w:rPr>
        <w:t xml:space="preserve"> проверок направлены Главе Эвенк</w:t>
      </w:r>
      <w:r w:rsidR="00F13C04" w:rsidRPr="00AD5949">
        <w:rPr>
          <w:rFonts w:ascii="Times New Roman" w:hAnsi="Times New Roman" w:cs="Times New Roman"/>
          <w:sz w:val="28"/>
          <w:szCs w:val="28"/>
        </w:rPr>
        <w:t xml:space="preserve">ийского муниципального района, </w:t>
      </w:r>
      <w:r w:rsidRPr="00AD5949">
        <w:rPr>
          <w:rFonts w:ascii="Times New Roman" w:hAnsi="Times New Roman" w:cs="Times New Roman"/>
          <w:sz w:val="28"/>
          <w:szCs w:val="28"/>
        </w:rPr>
        <w:t>Председателю Эвенкийск</w:t>
      </w:r>
      <w:r w:rsidR="00094002" w:rsidRPr="00AD5949">
        <w:rPr>
          <w:rFonts w:ascii="Times New Roman" w:hAnsi="Times New Roman" w:cs="Times New Roman"/>
          <w:sz w:val="28"/>
          <w:szCs w:val="28"/>
        </w:rPr>
        <w:t>ого районного Совета депутатов,</w:t>
      </w:r>
      <w:r w:rsidR="00870E5B" w:rsidRPr="00AD5949">
        <w:rPr>
          <w:rFonts w:ascii="Times New Roman" w:hAnsi="Times New Roman" w:cs="Times New Roman"/>
          <w:sz w:val="28"/>
          <w:szCs w:val="28"/>
        </w:rPr>
        <w:t xml:space="preserve">  Главам поселений</w:t>
      </w:r>
      <w:r w:rsidR="00091258" w:rsidRPr="00AD5949">
        <w:rPr>
          <w:rFonts w:ascii="Times New Roman" w:hAnsi="Times New Roman" w:cs="Times New Roman"/>
          <w:sz w:val="28"/>
          <w:szCs w:val="28"/>
        </w:rPr>
        <w:t>, руководителям  проверенных  учреждений.</w:t>
      </w:r>
    </w:p>
    <w:p w14:paraId="6D740F45" w14:textId="77777777" w:rsidR="00D25F1E" w:rsidRPr="00AD5949" w:rsidRDefault="00D25F1E" w:rsidP="00D25F1E">
      <w:pPr>
        <w:pStyle w:val="af"/>
        <w:ind w:left="0"/>
        <w:rPr>
          <w:b/>
          <w:szCs w:val="28"/>
        </w:rPr>
      </w:pPr>
      <w:r w:rsidRPr="00AD5949">
        <w:rPr>
          <w:szCs w:val="28"/>
        </w:rPr>
        <w:t xml:space="preserve">              </w:t>
      </w:r>
    </w:p>
    <w:p w14:paraId="187AB418" w14:textId="77777777" w:rsidR="00D25F1E" w:rsidRPr="00AD5949" w:rsidRDefault="00D25F1E" w:rsidP="00D25F1E">
      <w:pPr>
        <w:pStyle w:val="ad"/>
        <w:jc w:val="both"/>
        <w:rPr>
          <w:szCs w:val="28"/>
        </w:rPr>
      </w:pPr>
      <w:r w:rsidRPr="00AD5949">
        <w:rPr>
          <w:szCs w:val="28"/>
        </w:rPr>
        <w:t xml:space="preserve">           Основная задача деятельности КСП в отчетном периоде заключалась в определении эффективности использования финансовых средств бюджетов и</w:t>
      </w:r>
      <w:r w:rsidR="00F11C9A">
        <w:rPr>
          <w:szCs w:val="28"/>
        </w:rPr>
        <w:t xml:space="preserve"> муниципальной собственности,</w:t>
      </w:r>
      <w:r w:rsidRPr="00AD5949">
        <w:rPr>
          <w:szCs w:val="28"/>
        </w:rPr>
        <w:t xml:space="preserve"> контрол</w:t>
      </w:r>
      <w:r w:rsidR="00F11C9A">
        <w:rPr>
          <w:szCs w:val="28"/>
        </w:rPr>
        <w:t>ь</w:t>
      </w:r>
      <w:r w:rsidRPr="00AD5949">
        <w:rPr>
          <w:szCs w:val="28"/>
        </w:rPr>
        <w:t xml:space="preserve"> за ходом исполнения бюджетов, а также за соблюдением установленного порядка подготовки и рассмотрения проектов бюджетов, отчетов об их исполнении.  Все поселения обеспечили принятие местных бюджетов до начала финансового года.</w:t>
      </w:r>
    </w:p>
    <w:p w14:paraId="365BB118" w14:textId="77777777" w:rsidR="00D25F1E" w:rsidRPr="00AD5949" w:rsidRDefault="00D25F1E" w:rsidP="00D25F1E">
      <w:pPr>
        <w:pStyle w:val="ad"/>
        <w:jc w:val="both"/>
        <w:rPr>
          <w:color w:val="000000"/>
          <w:szCs w:val="28"/>
        </w:rPr>
      </w:pPr>
      <w:r w:rsidRPr="00AD5949">
        <w:rPr>
          <w:szCs w:val="28"/>
        </w:rPr>
        <w:t xml:space="preserve">         Сложившаяся система межбюджетных отношений характеризуется тем, что бюджеты поселений и районного бюджета являются высокодотационными, что в значительной степени обусловлено недостаточным уровнем налоговых доходов.</w:t>
      </w:r>
      <w:r w:rsidRPr="00AD5949">
        <w:rPr>
          <w:color w:val="000000"/>
          <w:szCs w:val="28"/>
        </w:rPr>
        <w:t xml:space="preserve"> </w:t>
      </w:r>
    </w:p>
    <w:p w14:paraId="76A5BE48" w14:textId="77777777" w:rsidR="00222CAC" w:rsidRPr="00F151B2" w:rsidRDefault="00222CAC" w:rsidP="00D25F1E">
      <w:pPr>
        <w:pStyle w:val="ad"/>
        <w:jc w:val="both"/>
        <w:rPr>
          <w:color w:val="000000"/>
          <w:szCs w:val="28"/>
          <w:highlight w:val="yellow"/>
        </w:rPr>
      </w:pPr>
    </w:p>
    <w:p w14:paraId="4F81C4D2" w14:textId="77777777" w:rsidR="00A75427" w:rsidRPr="00F87797" w:rsidRDefault="00222CAC" w:rsidP="00222CAC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797">
        <w:rPr>
          <w:rFonts w:ascii="Times New Roman" w:hAnsi="Times New Roman" w:cs="Times New Roman"/>
          <w:i/>
          <w:sz w:val="28"/>
          <w:szCs w:val="28"/>
        </w:rPr>
        <w:t xml:space="preserve">           В 201</w:t>
      </w:r>
      <w:r w:rsidR="00AD5949" w:rsidRPr="00F87797">
        <w:rPr>
          <w:rFonts w:ascii="Times New Roman" w:hAnsi="Times New Roman" w:cs="Times New Roman"/>
          <w:i/>
          <w:sz w:val="28"/>
          <w:szCs w:val="28"/>
        </w:rPr>
        <w:t>9</w:t>
      </w:r>
      <w:r w:rsidRPr="00F87797">
        <w:rPr>
          <w:rFonts w:ascii="Times New Roman" w:hAnsi="Times New Roman" w:cs="Times New Roman"/>
          <w:i/>
          <w:sz w:val="28"/>
          <w:szCs w:val="28"/>
        </w:rPr>
        <w:t xml:space="preserve"> году Контрольно-с</w:t>
      </w:r>
      <w:r w:rsidR="00A75427" w:rsidRPr="00F87797">
        <w:rPr>
          <w:rFonts w:ascii="Times New Roman" w:hAnsi="Times New Roman" w:cs="Times New Roman"/>
          <w:i/>
          <w:sz w:val="28"/>
          <w:szCs w:val="28"/>
        </w:rPr>
        <w:t>четной палатой в соответствии с</w:t>
      </w:r>
      <w:r w:rsidRPr="00F87797">
        <w:rPr>
          <w:rFonts w:ascii="Times New Roman" w:hAnsi="Times New Roman" w:cs="Times New Roman"/>
          <w:i/>
          <w:sz w:val="28"/>
          <w:szCs w:val="28"/>
        </w:rPr>
        <w:t xml:space="preserve"> планом работы проведено </w:t>
      </w:r>
      <w:r w:rsidR="00AD5949" w:rsidRPr="00F87797">
        <w:rPr>
          <w:rFonts w:ascii="Times New Roman" w:hAnsi="Times New Roman" w:cs="Times New Roman"/>
          <w:i/>
          <w:sz w:val="28"/>
          <w:szCs w:val="28"/>
        </w:rPr>
        <w:t>4</w:t>
      </w:r>
      <w:r w:rsidRPr="00F87797">
        <w:rPr>
          <w:rFonts w:ascii="Times New Roman" w:hAnsi="Times New Roman" w:cs="Times New Roman"/>
          <w:i/>
          <w:sz w:val="28"/>
          <w:szCs w:val="28"/>
        </w:rPr>
        <w:t xml:space="preserve"> контрольных мероприятия,</w:t>
      </w:r>
      <w:r w:rsidR="006E18AD" w:rsidRPr="00F87797">
        <w:rPr>
          <w:rFonts w:ascii="Times New Roman" w:hAnsi="Times New Roman" w:cs="Times New Roman"/>
          <w:i/>
          <w:sz w:val="28"/>
          <w:szCs w:val="28"/>
        </w:rPr>
        <w:t xml:space="preserve"> из них</w:t>
      </w:r>
      <w:r w:rsidR="00A75427" w:rsidRPr="00F87797">
        <w:rPr>
          <w:rFonts w:ascii="Times New Roman" w:hAnsi="Times New Roman" w:cs="Times New Roman"/>
          <w:i/>
          <w:sz w:val="28"/>
          <w:szCs w:val="28"/>
        </w:rPr>
        <w:t>:</w:t>
      </w:r>
    </w:p>
    <w:p w14:paraId="40687F16" w14:textId="77777777" w:rsidR="00A75427" w:rsidRDefault="00A75427" w:rsidP="00A75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>-</w:t>
      </w:r>
      <w:r w:rsidR="006E18AD"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AD5949" w:rsidRPr="00AD5949">
        <w:rPr>
          <w:rFonts w:ascii="Times New Roman" w:hAnsi="Times New Roman" w:cs="Times New Roman"/>
          <w:sz w:val="28"/>
          <w:szCs w:val="28"/>
        </w:rPr>
        <w:t>2</w:t>
      </w:r>
      <w:r w:rsidR="006E18AD" w:rsidRPr="00AD594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22CAC" w:rsidRPr="00AD5949">
        <w:rPr>
          <w:rFonts w:ascii="Times New Roman" w:hAnsi="Times New Roman" w:cs="Times New Roman"/>
          <w:sz w:val="28"/>
          <w:szCs w:val="28"/>
        </w:rPr>
        <w:t xml:space="preserve"> по исполнению бюджетов поселений (</w:t>
      </w:r>
      <w:r w:rsidR="00CA2D17">
        <w:rPr>
          <w:rFonts w:ascii="Times New Roman" w:hAnsi="Times New Roman" w:cs="Times New Roman"/>
          <w:sz w:val="28"/>
          <w:szCs w:val="28"/>
        </w:rPr>
        <w:t xml:space="preserve">п. </w:t>
      </w:r>
      <w:r w:rsidR="00AD5949" w:rsidRPr="00AD5949">
        <w:rPr>
          <w:rFonts w:ascii="Times New Roman" w:hAnsi="Times New Roman" w:cs="Times New Roman"/>
          <w:sz w:val="28"/>
          <w:szCs w:val="28"/>
        </w:rPr>
        <w:t>Полигус</w:t>
      </w:r>
      <w:r w:rsidR="00222CAC" w:rsidRPr="00AD5949">
        <w:rPr>
          <w:rFonts w:ascii="Times New Roman" w:hAnsi="Times New Roman" w:cs="Times New Roman"/>
          <w:sz w:val="28"/>
          <w:szCs w:val="28"/>
        </w:rPr>
        <w:t xml:space="preserve"> за 201</w:t>
      </w:r>
      <w:r w:rsidRPr="00AD5949">
        <w:rPr>
          <w:rFonts w:ascii="Times New Roman" w:hAnsi="Times New Roman" w:cs="Times New Roman"/>
          <w:sz w:val="28"/>
          <w:szCs w:val="28"/>
        </w:rPr>
        <w:t>7</w:t>
      </w:r>
      <w:r w:rsidR="00222CAC" w:rsidRPr="00AD5949">
        <w:rPr>
          <w:rFonts w:ascii="Times New Roman" w:hAnsi="Times New Roman" w:cs="Times New Roman"/>
          <w:sz w:val="28"/>
          <w:szCs w:val="28"/>
        </w:rPr>
        <w:t xml:space="preserve"> год, </w:t>
      </w:r>
      <w:r w:rsidR="00CA2D17">
        <w:rPr>
          <w:rFonts w:ascii="Times New Roman" w:hAnsi="Times New Roman" w:cs="Times New Roman"/>
          <w:sz w:val="28"/>
          <w:szCs w:val="28"/>
        </w:rPr>
        <w:t xml:space="preserve">п. </w:t>
      </w:r>
      <w:r w:rsidR="00AD5949" w:rsidRPr="00AD5949">
        <w:rPr>
          <w:rFonts w:ascii="Times New Roman" w:hAnsi="Times New Roman" w:cs="Times New Roman"/>
          <w:sz w:val="28"/>
          <w:szCs w:val="28"/>
        </w:rPr>
        <w:t>Суломай</w:t>
      </w:r>
      <w:r w:rsidR="00222CAC" w:rsidRPr="00AD5949">
        <w:rPr>
          <w:rFonts w:ascii="Times New Roman" w:hAnsi="Times New Roman" w:cs="Times New Roman"/>
          <w:sz w:val="28"/>
          <w:szCs w:val="28"/>
        </w:rPr>
        <w:t xml:space="preserve"> за 201</w:t>
      </w:r>
      <w:r w:rsidRPr="00AD5949">
        <w:rPr>
          <w:rFonts w:ascii="Times New Roman" w:hAnsi="Times New Roman" w:cs="Times New Roman"/>
          <w:sz w:val="28"/>
          <w:szCs w:val="28"/>
        </w:rPr>
        <w:t>7</w:t>
      </w:r>
      <w:r w:rsidR="00222CAC" w:rsidRPr="00AD5949">
        <w:rPr>
          <w:rFonts w:ascii="Times New Roman" w:hAnsi="Times New Roman" w:cs="Times New Roman"/>
          <w:sz w:val="28"/>
          <w:szCs w:val="28"/>
        </w:rPr>
        <w:t xml:space="preserve"> год</w:t>
      </w:r>
      <w:r w:rsidR="006E18AD" w:rsidRPr="00AD5949">
        <w:rPr>
          <w:rFonts w:ascii="Times New Roman" w:hAnsi="Times New Roman" w:cs="Times New Roman"/>
          <w:sz w:val="28"/>
          <w:szCs w:val="28"/>
        </w:rPr>
        <w:t>)</w:t>
      </w:r>
      <w:r w:rsidRPr="00AD5949">
        <w:rPr>
          <w:rFonts w:ascii="Times New Roman" w:hAnsi="Times New Roman" w:cs="Times New Roman"/>
          <w:sz w:val="28"/>
          <w:szCs w:val="28"/>
        </w:rPr>
        <w:t>;</w:t>
      </w:r>
    </w:p>
    <w:p w14:paraId="03E03DD2" w14:textId="77777777" w:rsidR="00AD5949" w:rsidRPr="00AD5949" w:rsidRDefault="00AD5949" w:rsidP="00A754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внешняя проверка </w:t>
      </w:r>
      <w:r w:rsidR="00D84C1A">
        <w:rPr>
          <w:rFonts w:ascii="Times New Roman" w:hAnsi="Times New Roman" w:cs="Times New Roman"/>
          <w:sz w:val="28"/>
          <w:szCs w:val="28"/>
        </w:rPr>
        <w:t>исполнения бюджета Эвенкийского муниципального района за 2018 год;</w:t>
      </w:r>
    </w:p>
    <w:p w14:paraId="4CB05810" w14:textId="77777777" w:rsidR="00222CAC" w:rsidRPr="00AD5949" w:rsidRDefault="00A75427" w:rsidP="00A75427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949">
        <w:rPr>
          <w:rFonts w:ascii="Times New Roman" w:hAnsi="Times New Roman" w:cs="Times New Roman"/>
          <w:sz w:val="28"/>
          <w:szCs w:val="28"/>
        </w:rPr>
        <w:t xml:space="preserve">- одна проверка целевого и эффективного использования средств, выделенных </w:t>
      </w:r>
      <w:r w:rsidR="00D84C1A">
        <w:rPr>
          <w:rFonts w:ascii="Times New Roman" w:hAnsi="Times New Roman" w:cs="Times New Roman"/>
          <w:sz w:val="28"/>
          <w:szCs w:val="28"/>
        </w:rPr>
        <w:t>Муниципальному бюджетному учреждению «Дом-интернат для престарелых и инвалидов» Эвенкийского муниципального района Красноярского края</w:t>
      </w:r>
      <w:r w:rsidR="00CA2D17">
        <w:rPr>
          <w:rFonts w:ascii="Times New Roman" w:hAnsi="Times New Roman" w:cs="Times New Roman"/>
          <w:sz w:val="28"/>
          <w:szCs w:val="28"/>
        </w:rPr>
        <w:t xml:space="preserve"> за 2018 год.</w:t>
      </w:r>
      <w:r w:rsidRPr="00AD5949">
        <w:rPr>
          <w:rFonts w:ascii="Times New Roman" w:hAnsi="Times New Roman" w:cs="Times New Roman"/>
          <w:sz w:val="28"/>
          <w:szCs w:val="28"/>
        </w:rPr>
        <w:t xml:space="preserve"> </w:t>
      </w:r>
      <w:r w:rsidR="00222CAC" w:rsidRPr="00AD59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2F2F30" w14:textId="002CB087" w:rsidR="00317B20" w:rsidRPr="00201CF3" w:rsidRDefault="00317B20" w:rsidP="00317B20">
      <w:pPr>
        <w:pStyle w:val="ad"/>
        <w:ind w:hanging="436"/>
        <w:jc w:val="both"/>
        <w:rPr>
          <w:szCs w:val="28"/>
        </w:rPr>
      </w:pPr>
      <w:r w:rsidRPr="00201CF3">
        <w:rPr>
          <w:szCs w:val="28"/>
        </w:rPr>
        <w:t xml:space="preserve">               Объем средств, охваченный при проведении </w:t>
      </w:r>
      <w:r w:rsidR="00E870AB" w:rsidRPr="00201CF3">
        <w:rPr>
          <w:szCs w:val="28"/>
        </w:rPr>
        <w:t>контрольных мероприятий,</w:t>
      </w:r>
      <w:r w:rsidRPr="00201CF3">
        <w:rPr>
          <w:szCs w:val="28"/>
        </w:rPr>
        <w:t xml:space="preserve"> составил </w:t>
      </w:r>
      <w:r w:rsidR="00201CF3" w:rsidRPr="00201CF3">
        <w:rPr>
          <w:szCs w:val="28"/>
        </w:rPr>
        <w:t>409 270,13 тыс. руб</w:t>
      </w:r>
      <w:r w:rsidRPr="00201CF3">
        <w:rPr>
          <w:szCs w:val="28"/>
        </w:rPr>
        <w:t>.</w:t>
      </w:r>
    </w:p>
    <w:p w14:paraId="413201F4" w14:textId="77777777" w:rsidR="00317B20" w:rsidRPr="00201CF3" w:rsidRDefault="00317B20" w:rsidP="00317B20">
      <w:pPr>
        <w:pStyle w:val="ad"/>
        <w:jc w:val="both"/>
        <w:rPr>
          <w:szCs w:val="28"/>
        </w:rPr>
      </w:pPr>
      <w:r w:rsidRPr="00201CF3">
        <w:rPr>
          <w:color w:val="FF0000"/>
          <w:szCs w:val="28"/>
        </w:rPr>
        <w:t xml:space="preserve">        </w:t>
      </w:r>
      <w:r w:rsidRPr="00201CF3">
        <w:rPr>
          <w:szCs w:val="28"/>
        </w:rPr>
        <w:t xml:space="preserve">  Проведенные проверки по</w:t>
      </w:r>
      <w:r w:rsidR="00A75427" w:rsidRPr="00201CF3">
        <w:rPr>
          <w:szCs w:val="28"/>
        </w:rPr>
        <w:t xml:space="preserve"> исполнению бюджетов поселений</w:t>
      </w:r>
      <w:r w:rsidRPr="00201CF3">
        <w:rPr>
          <w:szCs w:val="28"/>
        </w:rPr>
        <w:t xml:space="preserve"> показали наиболее распространенные недостатки и упущения:</w:t>
      </w:r>
    </w:p>
    <w:p w14:paraId="3681CC5A" w14:textId="77777777" w:rsidR="00201CF3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CF3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1E79DD" w:rsidRPr="00201CF3">
        <w:rPr>
          <w:rFonts w:ascii="Times New Roman" w:hAnsi="Times New Roman" w:cs="Times New Roman"/>
          <w:sz w:val="28"/>
          <w:szCs w:val="28"/>
        </w:rPr>
        <w:t>н</w:t>
      </w:r>
      <w:r w:rsidRPr="00201CF3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1915DA" w:rsidRPr="00201CF3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Pr="00201CF3">
        <w:rPr>
          <w:rFonts w:ascii="Times New Roman" w:hAnsi="Times New Roman" w:cs="Times New Roman"/>
          <w:sz w:val="28"/>
          <w:szCs w:val="28"/>
        </w:rPr>
        <w:t>Федерального Закона «О бухгалтерском учете» № 402-ФЗ от 06.12.2011г</w:t>
      </w:r>
      <w:r w:rsidR="00201CF3">
        <w:rPr>
          <w:rFonts w:ascii="Times New Roman" w:hAnsi="Times New Roman" w:cs="Times New Roman"/>
          <w:sz w:val="28"/>
          <w:szCs w:val="28"/>
        </w:rPr>
        <w:t xml:space="preserve">; </w:t>
      </w:r>
      <w:r w:rsidRPr="00201CF3">
        <w:rPr>
          <w:rFonts w:ascii="Times New Roman" w:hAnsi="Times New Roman" w:cs="Times New Roman"/>
          <w:sz w:val="28"/>
          <w:szCs w:val="28"/>
        </w:rPr>
        <w:t>приказа Министерства финансов РФ от 01.12.2010 г. № 157н</w:t>
      </w:r>
      <w:r w:rsidR="00201CF3">
        <w:rPr>
          <w:rFonts w:ascii="Times New Roman" w:hAnsi="Times New Roman" w:cs="Times New Roman"/>
          <w:sz w:val="28"/>
          <w:szCs w:val="28"/>
        </w:rPr>
        <w:t xml:space="preserve">; </w:t>
      </w:r>
      <w:r w:rsidR="005D2D58" w:rsidRPr="00201CF3">
        <w:rPr>
          <w:rFonts w:ascii="Times New Roman" w:hAnsi="Times New Roman" w:cs="Times New Roman"/>
          <w:sz w:val="28"/>
          <w:szCs w:val="28"/>
        </w:rPr>
        <w:t xml:space="preserve">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РФ от 11 марта 2014г. № 3210-У; </w:t>
      </w:r>
      <w:r w:rsidR="005B2467" w:rsidRPr="00201CF3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от 29.12.2007г. №512-п</w:t>
      </w:r>
      <w:r w:rsidRPr="00201CF3">
        <w:rPr>
          <w:rFonts w:ascii="Times New Roman" w:hAnsi="Times New Roman" w:cs="Times New Roman"/>
          <w:sz w:val="28"/>
          <w:szCs w:val="28"/>
        </w:rPr>
        <w:t>.</w:t>
      </w:r>
    </w:p>
    <w:p w14:paraId="2C8962F3" w14:textId="77777777" w:rsidR="00317B20" w:rsidRPr="00317B2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Установленные при проведении проверок случаи нарушения бюджетного законодательства, нормативных правовых актов РФ</w:t>
      </w:r>
      <w:r w:rsidR="005C3115">
        <w:rPr>
          <w:rFonts w:ascii="Times New Roman" w:hAnsi="Times New Roman" w:cs="Times New Roman"/>
          <w:sz w:val="28"/>
          <w:szCs w:val="28"/>
        </w:rPr>
        <w:t xml:space="preserve">, Красноярского края </w:t>
      </w:r>
      <w:r w:rsidRPr="00317B20">
        <w:rPr>
          <w:rFonts w:ascii="Times New Roman" w:hAnsi="Times New Roman" w:cs="Times New Roman"/>
          <w:sz w:val="28"/>
          <w:szCs w:val="28"/>
        </w:rPr>
        <w:t>привели к неправомерному, неэффективному использованию бюджетных средств</w:t>
      </w:r>
      <w:r w:rsidR="005B2467">
        <w:rPr>
          <w:rFonts w:ascii="Times New Roman" w:hAnsi="Times New Roman" w:cs="Times New Roman"/>
          <w:sz w:val="28"/>
          <w:szCs w:val="28"/>
        </w:rPr>
        <w:t xml:space="preserve"> и недоплате по заработной плате</w:t>
      </w:r>
      <w:r w:rsidRPr="00317B20">
        <w:rPr>
          <w:rFonts w:ascii="Times New Roman" w:hAnsi="Times New Roman" w:cs="Times New Roman"/>
          <w:sz w:val="28"/>
          <w:szCs w:val="28"/>
        </w:rPr>
        <w:t>.</w:t>
      </w:r>
    </w:p>
    <w:p w14:paraId="2DA5DE58" w14:textId="77777777" w:rsidR="00317B20" w:rsidRPr="00DB67A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7ECC">
        <w:rPr>
          <w:rFonts w:ascii="Times New Roman" w:hAnsi="Times New Roman" w:cs="Times New Roman"/>
          <w:sz w:val="28"/>
          <w:szCs w:val="28"/>
        </w:rPr>
        <w:t xml:space="preserve">            При проведении проверок Контрольно-счетной палатой в 201</w:t>
      </w:r>
      <w:r w:rsidR="00D84C1A">
        <w:rPr>
          <w:rFonts w:ascii="Times New Roman" w:hAnsi="Times New Roman" w:cs="Times New Roman"/>
          <w:sz w:val="28"/>
          <w:szCs w:val="28"/>
        </w:rPr>
        <w:t>9</w:t>
      </w:r>
      <w:r w:rsidRPr="00D57ECC">
        <w:rPr>
          <w:rFonts w:ascii="Times New Roman" w:hAnsi="Times New Roman" w:cs="Times New Roman"/>
          <w:sz w:val="28"/>
          <w:szCs w:val="28"/>
        </w:rPr>
        <w:t xml:space="preserve"> году  выявлено нарушений на </w:t>
      </w:r>
      <w:r w:rsidR="00CC0955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D57EC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87797">
        <w:rPr>
          <w:rFonts w:ascii="Times New Roman" w:hAnsi="Times New Roman" w:cs="Times New Roman"/>
          <w:sz w:val="28"/>
          <w:szCs w:val="28"/>
        </w:rPr>
        <w:t>624,18</w:t>
      </w:r>
      <w:r w:rsidR="005B2467">
        <w:rPr>
          <w:rFonts w:ascii="Times New Roman" w:hAnsi="Times New Roman" w:cs="Times New Roman"/>
          <w:sz w:val="28"/>
          <w:szCs w:val="28"/>
        </w:rPr>
        <w:t xml:space="preserve"> </w:t>
      </w:r>
      <w:r w:rsidRPr="00D57ECC">
        <w:rPr>
          <w:rFonts w:ascii="Times New Roman" w:hAnsi="Times New Roman" w:cs="Times New Roman"/>
          <w:sz w:val="28"/>
          <w:szCs w:val="28"/>
        </w:rPr>
        <w:t xml:space="preserve">тыс. рублей, из них: </w:t>
      </w:r>
      <w:r w:rsidR="005B2467">
        <w:rPr>
          <w:rFonts w:ascii="Times New Roman" w:hAnsi="Times New Roman" w:cs="Times New Roman"/>
          <w:sz w:val="28"/>
          <w:szCs w:val="28"/>
        </w:rPr>
        <w:t xml:space="preserve">неэффективные расходы составили </w:t>
      </w:r>
      <w:r w:rsidR="00D84C1A">
        <w:rPr>
          <w:rFonts w:ascii="Times New Roman" w:hAnsi="Times New Roman" w:cs="Times New Roman"/>
          <w:sz w:val="28"/>
          <w:szCs w:val="28"/>
        </w:rPr>
        <w:t>269,30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B67A0">
        <w:rPr>
          <w:rFonts w:ascii="Times New Roman" w:hAnsi="Times New Roman" w:cs="Times New Roman"/>
          <w:sz w:val="28"/>
          <w:szCs w:val="28"/>
        </w:rPr>
        <w:t xml:space="preserve">, </w:t>
      </w:r>
      <w:r w:rsidRPr="00D57ECC">
        <w:rPr>
          <w:rFonts w:ascii="Times New Roman" w:hAnsi="Times New Roman" w:cs="Times New Roman"/>
          <w:sz w:val="28"/>
          <w:szCs w:val="28"/>
        </w:rPr>
        <w:t>неправомерные расходы</w:t>
      </w:r>
      <w:r w:rsidR="000E29B6">
        <w:rPr>
          <w:rFonts w:ascii="Times New Roman" w:hAnsi="Times New Roman" w:cs="Times New Roman"/>
          <w:sz w:val="28"/>
          <w:szCs w:val="28"/>
        </w:rPr>
        <w:t xml:space="preserve"> </w:t>
      </w:r>
      <w:r w:rsidR="00201CF3">
        <w:rPr>
          <w:rFonts w:ascii="Times New Roman" w:hAnsi="Times New Roman" w:cs="Times New Roman"/>
          <w:sz w:val="28"/>
          <w:szCs w:val="28"/>
        </w:rPr>
        <w:t>15</w:t>
      </w:r>
      <w:r w:rsidR="00F87797">
        <w:rPr>
          <w:rFonts w:ascii="Times New Roman" w:hAnsi="Times New Roman" w:cs="Times New Roman"/>
          <w:sz w:val="28"/>
          <w:szCs w:val="28"/>
        </w:rPr>
        <w:t>,7</w:t>
      </w:r>
      <w:r w:rsidR="00995E45">
        <w:rPr>
          <w:rFonts w:ascii="Times New Roman" w:hAnsi="Times New Roman" w:cs="Times New Roman"/>
          <w:sz w:val="28"/>
          <w:szCs w:val="28"/>
        </w:rPr>
        <w:t>2</w:t>
      </w:r>
      <w:r w:rsidR="000E29B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B67A0">
        <w:rPr>
          <w:rFonts w:ascii="Times New Roman" w:hAnsi="Times New Roman" w:cs="Times New Roman"/>
          <w:sz w:val="28"/>
          <w:szCs w:val="28"/>
        </w:rPr>
        <w:t>(</w:t>
      </w:r>
      <w:r w:rsidR="00F87797">
        <w:rPr>
          <w:rFonts w:ascii="Times New Roman" w:hAnsi="Times New Roman" w:cs="Times New Roman"/>
          <w:sz w:val="28"/>
          <w:szCs w:val="28"/>
        </w:rPr>
        <w:t>переплата по авансовым отчетам</w:t>
      </w:r>
      <w:r w:rsidR="00DB67A0" w:rsidRPr="00DB67A0">
        <w:rPr>
          <w:rFonts w:ascii="Times New Roman" w:hAnsi="Times New Roman" w:cs="Times New Roman"/>
          <w:sz w:val="28"/>
          <w:szCs w:val="28"/>
        </w:rPr>
        <w:t>, переплата по заработной плате</w:t>
      </w:r>
      <w:r w:rsidRPr="00DB67A0">
        <w:rPr>
          <w:rFonts w:ascii="Times New Roman" w:hAnsi="Times New Roman" w:cs="Times New Roman"/>
          <w:sz w:val="28"/>
          <w:szCs w:val="28"/>
        </w:rPr>
        <w:t>)</w:t>
      </w:r>
      <w:r w:rsidRPr="00D57ECC">
        <w:rPr>
          <w:rFonts w:ascii="Times New Roman" w:hAnsi="Times New Roman" w:cs="Times New Roman"/>
          <w:sz w:val="28"/>
          <w:szCs w:val="28"/>
        </w:rPr>
        <w:t xml:space="preserve">, прочие нарушения – </w:t>
      </w:r>
      <w:r w:rsidR="00F87797">
        <w:rPr>
          <w:rFonts w:ascii="Times New Roman" w:hAnsi="Times New Roman" w:cs="Times New Roman"/>
          <w:sz w:val="28"/>
          <w:szCs w:val="28"/>
        </w:rPr>
        <w:t>339,16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57ECC">
        <w:rPr>
          <w:rFonts w:ascii="Times New Roman" w:hAnsi="Times New Roman" w:cs="Times New Roman"/>
          <w:sz w:val="28"/>
          <w:szCs w:val="28"/>
        </w:rPr>
        <w:t>руб</w:t>
      </w:r>
      <w:r w:rsidRPr="00DB67A0">
        <w:rPr>
          <w:rFonts w:ascii="Times New Roman" w:hAnsi="Times New Roman" w:cs="Times New Roman"/>
          <w:sz w:val="28"/>
          <w:szCs w:val="28"/>
        </w:rPr>
        <w:t>.</w:t>
      </w:r>
      <w:r w:rsidR="000E29B6">
        <w:rPr>
          <w:rFonts w:ascii="Times New Roman" w:hAnsi="Times New Roman" w:cs="Times New Roman"/>
          <w:sz w:val="28"/>
          <w:szCs w:val="28"/>
        </w:rPr>
        <w:t xml:space="preserve"> </w:t>
      </w:r>
      <w:r w:rsidRPr="00DB67A0">
        <w:rPr>
          <w:rFonts w:ascii="Times New Roman" w:hAnsi="Times New Roman" w:cs="Times New Roman"/>
          <w:sz w:val="28"/>
          <w:szCs w:val="28"/>
        </w:rPr>
        <w:t xml:space="preserve">(недоплата по заработной плате, </w:t>
      </w:r>
      <w:r w:rsidR="000E29B6">
        <w:rPr>
          <w:rFonts w:ascii="Times New Roman" w:hAnsi="Times New Roman" w:cs="Times New Roman"/>
          <w:sz w:val="28"/>
          <w:szCs w:val="28"/>
        </w:rPr>
        <w:t>превышение фонда оплаты труда</w:t>
      </w:r>
      <w:r w:rsidR="00D84C1A">
        <w:rPr>
          <w:rFonts w:ascii="Times New Roman" w:hAnsi="Times New Roman" w:cs="Times New Roman"/>
          <w:sz w:val="28"/>
          <w:szCs w:val="28"/>
        </w:rPr>
        <w:t>, ведения бухгалтерского учета</w:t>
      </w:r>
      <w:r w:rsidRPr="00DB67A0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F4F962F" w14:textId="1AAA8F75" w:rsidR="00DB67A0" w:rsidRPr="00222CAC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целом по проверкам</w:t>
      </w:r>
      <w:r w:rsidRPr="00222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CAC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</w:t>
      </w:r>
      <w:r w:rsidR="00E870AB" w:rsidRPr="00222CAC">
        <w:rPr>
          <w:rFonts w:ascii="Times New Roman" w:hAnsi="Times New Roman" w:cs="Times New Roman"/>
          <w:sz w:val="28"/>
          <w:szCs w:val="28"/>
        </w:rPr>
        <w:t>сумме 245</w:t>
      </w:r>
      <w:r w:rsidR="00F87797">
        <w:rPr>
          <w:rFonts w:ascii="Times New Roman" w:hAnsi="Times New Roman" w:cs="Times New Roman"/>
          <w:sz w:val="28"/>
          <w:szCs w:val="28"/>
        </w:rPr>
        <w:t>,50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87797">
        <w:rPr>
          <w:rFonts w:ascii="Times New Roman" w:hAnsi="Times New Roman" w:cs="Times New Roman"/>
          <w:sz w:val="28"/>
          <w:szCs w:val="28"/>
        </w:rPr>
        <w:t>39,3</w:t>
      </w:r>
      <w:r w:rsidRPr="00222CAC">
        <w:rPr>
          <w:rFonts w:ascii="Times New Roman" w:hAnsi="Times New Roman" w:cs="Times New Roman"/>
          <w:sz w:val="28"/>
          <w:szCs w:val="28"/>
        </w:rPr>
        <w:t xml:space="preserve"> процента от выявленных нарушений. Произведены перерасчеты по заработной плате, </w:t>
      </w:r>
      <w:r w:rsidR="00DB67A0" w:rsidRPr="00222CAC">
        <w:rPr>
          <w:rFonts w:ascii="Times New Roman" w:hAnsi="Times New Roman" w:cs="Times New Roman"/>
          <w:sz w:val="28"/>
          <w:szCs w:val="28"/>
        </w:rPr>
        <w:t>произведены исправления в бухгалтерском учете, учтены замечания по неиспользованию имеющегося на балансе имущества.</w:t>
      </w:r>
    </w:p>
    <w:p w14:paraId="3B41561A" w14:textId="77777777" w:rsidR="00162B3D" w:rsidRPr="00162B3D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</w:t>
      </w:r>
      <w:r w:rsidRPr="00162B3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Из анализа представленных в Контрольно-счетную палату документов следует, что результаты проведенных контрольных мероприятий в проверенных учреждениях </w:t>
      </w:r>
      <w:r w:rsidR="00C756BB" w:rsidRPr="00162B3D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 в большинстве случаев ими разработаны и </w:t>
      </w:r>
      <w:r w:rsidRPr="00162B3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мероприятия по выполнению соответствующих рекомендаций, устраняются недостатки в организации и ведении бухгалтерского учета. </w:t>
      </w:r>
    </w:p>
    <w:p w14:paraId="5490F2CB" w14:textId="77777777" w:rsidR="00317B20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797">
        <w:rPr>
          <w:rFonts w:ascii="Times New Roman" w:hAnsi="Times New Roman" w:cs="Times New Roman"/>
          <w:sz w:val="28"/>
          <w:szCs w:val="28"/>
        </w:rPr>
        <w:t>По материалам проверок поступила информация по устранению</w:t>
      </w:r>
      <w:r w:rsidR="005C3115" w:rsidRPr="00F87797">
        <w:rPr>
          <w:rFonts w:ascii="Times New Roman" w:hAnsi="Times New Roman" w:cs="Times New Roman"/>
          <w:sz w:val="28"/>
          <w:szCs w:val="28"/>
        </w:rPr>
        <w:t xml:space="preserve"> нарушений от  руководителей </w:t>
      </w:r>
      <w:r w:rsidRPr="00F87797">
        <w:rPr>
          <w:rFonts w:ascii="Times New Roman" w:hAnsi="Times New Roman" w:cs="Times New Roman"/>
          <w:sz w:val="28"/>
          <w:szCs w:val="28"/>
        </w:rPr>
        <w:t>проверенных учреждений.</w:t>
      </w:r>
    </w:p>
    <w:p w14:paraId="57BF3D4C" w14:textId="77777777" w:rsidR="00AD43D2" w:rsidRDefault="00AD43D2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E9F677F" w14:textId="77777777" w:rsidR="00CC0955" w:rsidRPr="00DB67A0" w:rsidRDefault="00AD43D2" w:rsidP="00CC09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044" w:rsidRPr="00F90C8F">
        <w:rPr>
          <w:rFonts w:ascii="Times New Roman" w:hAnsi="Times New Roman" w:cs="Times New Roman"/>
          <w:i/>
          <w:sz w:val="28"/>
          <w:szCs w:val="28"/>
        </w:rPr>
        <w:t>Кроме того в</w:t>
      </w:r>
      <w:r w:rsidRPr="00CC0955">
        <w:rPr>
          <w:rFonts w:ascii="Times New Roman" w:hAnsi="Times New Roman" w:cs="Times New Roman"/>
          <w:i/>
          <w:sz w:val="28"/>
          <w:szCs w:val="28"/>
        </w:rPr>
        <w:t xml:space="preserve"> июле 2019 года в план работы КСП </w:t>
      </w:r>
      <w:r w:rsidR="001F0C69" w:rsidRPr="00CC0955">
        <w:rPr>
          <w:rFonts w:ascii="Times New Roman" w:hAnsi="Times New Roman" w:cs="Times New Roman"/>
          <w:i/>
          <w:sz w:val="28"/>
          <w:szCs w:val="28"/>
        </w:rPr>
        <w:t>был</w:t>
      </w:r>
      <w:r w:rsidR="00BA1044">
        <w:rPr>
          <w:rFonts w:ascii="Times New Roman" w:hAnsi="Times New Roman" w:cs="Times New Roman"/>
          <w:i/>
          <w:sz w:val="28"/>
          <w:szCs w:val="28"/>
        </w:rPr>
        <w:t>о</w:t>
      </w:r>
      <w:r w:rsidR="001F0C69" w:rsidRPr="00CC0955">
        <w:rPr>
          <w:rFonts w:ascii="Times New Roman" w:hAnsi="Times New Roman" w:cs="Times New Roman"/>
          <w:i/>
          <w:sz w:val="28"/>
          <w:szCs w:val="28"/>
        </w:rPr>
        <w:t xml:space="preserve"> добавлено контрольное мероприятие</w:t>
      </w:r>
      <w:r w:rsidR="001F0C69">
        <w:rPr>
          <w:rFonts w:ascii="Times New Roman" w:hAnsi="Times New Roman" w:cs="Times New Roman"/>
          <w:sz w:val="28"/>
          <w:szCs w:val="28"/>
        </w:rPr>
        <w:t xml:space="preserve"> «Проверка реализации программы «Развитие и поддержка отраслей экономики Эвенкийского муниципального района» подпрограммы «Поддержка предприятий торговли» за 2016-2018 года</w:t>
      </w:r>
      <w:r w:rsidR="00BA1044">
        <w:rPr>
          <w:rFonts w:ascii="Times New Roman" w:hAnsi="Times New Roman" w:cs="Times New Roman"/>
          <w:sz w:val="28"/>
          <w:szCs w:val="28"/>
        </w:rPr>
        <w:t>, в связи с проверкой проводимой Счетной палатой Красноярского края</w:t>
      </w:r>
      <w:r w:rsidR="001F0C69">
        <w:rPr>
          <w:rFonts w:ascii="Times New Roman" w:hAnsi="Times New Roman" w:cs="Times New Roman"/>
          <w:sz w:val="28"/>
          <w:szCs w:val="28"/>
        </w:rPr>
        <w:t xml:space="preserve">. Получателями субсидии являлись: </w:t>
      </w:r>
      <w:r w:rsidR="00D83C3F" w:rsidRPr="00D83C3F">
        <w:rPr>
          <w:rFonts w:ascii="Times New Roman" w:hAnsi="Times New Roman" w:cs="Times New Roman"/>
          <w:sz w:val="28"/>
          <w:szCs w:val="28"/>
        </w:rPr>
        <w:t>Потребительский кооператив «Байкитский»</w:t>
      </w:r>
      <w:r w:rsidR="00D83C3F">
        <w:rPr>
          <w:rFonts w:ascii="Times New Roman" w:hAnsi="Times New Roman" w:cs="Times New Roman"/>
          <w:sz w:val="28"/>
          <w:szCs w:val="28"/>
        </w:rPr>
        <w:t>, МП ЭМР «Эвенкийская база снабжения», ООО «Тура-Холд</w:t>
      </w:r>
      <w:r w:rsidR="000D1805">
        <w:rPr>
          <w:rFonts w:ascii="Times New Roman" w:hAnsi="Times New Roman" w:cs="Times New Roman"/>
          <w:sz w:val="28"/>
          <w:szCs w:val="28"/>
        </w:rPr>
        <w:t xml:space="preserve">инг», </w:t>
      </w:r>
      <w:r w:rsidR="001F0C69">
        <w:rPr>
          <w:rFonts w:ascii="Times New Roman" w:hAnsi="Times New Roman" w:cs="Times New Roman"/>
          <w:sz w:val="28"/>
          <w:szCs w:val="28"/>
        </w:rPr>
        <w:t>ИП Золотухин</w:t>
      </w:r>
      <w:r w:rsidR="000D1805">
        <w:rPr>
          <w:rFonts w:ascii="Times New Roman" w:hAnsi="Times New Roman" w:cs="Times New Roman"/>
          <w:sz w:val="28"/>
          <w:szCs w:val="28"/>
        </w:rPr>
        <w:t>а М. В., ИП Пиров С.С., ИП Коваленко И.М., ИП Иванов В.А., ИП Хлебников Г.Б. За период 2019 года проведены встречные проверки у всех получателей субсидии. Проверено</w:t>
      </w:r>
      <w:r w:rsidR="00CC0955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0D1805">
        <w:rPr>
          <w:rFonts w:ascii="Times New Roman" w:hAnsi="Times New Roman" w:cs="Times New Roman"/>
          <w:sz w:val="28"/>
          <w:szCs w:val="28"/>
        </w:rPr>
        <w:t xml:space="preserve"> средств районного бюджета 251 493,15 тыс. руб.</w:t>
      </w:r>
      <w:r w:rsidR="00CC0955">
        <w:rPr>
          <w:rFonts w:ascii="Times New Roman" w:hAnsi="Times New Roman" w:cs="Times New Roman"/>
          <w:sz w:val="28"/>
          <w:szCs w:val="28"/>
        </w:rPr>
        <w:t xml:space="preserve"> Выявлено нарушений в общей сумме 3 118,25 тыс. руб.</w:t>
      </w:r>
      <w:r w:rsidR="00CC0955" w:rsidRPr="00CC0955">
        <w:rPr>
          <w:rFonts w:ascii="Times New Roman" w:hAnsi="Times New Roman" w:cs="Times New Roman"/>
          <w:sz w:val="28"/>
          <w:szCs w:val="28"/>
        </w:rPr>
        <w:t xml:space="preserve"> </w:t>
      </w:r>
      <w:r w:rsidR="00CC0955" w:rsidRPr="00D57ECC">
        <w:rPr>
          <w:rFonts w:ascii="Times New Roman" w:hAnsi="Times New Roman" w:cs="Times New Roman"/>
          <w:sz w:val="28"/>
          <w:szCs w:val="28"/>
        </w:rPr>
        <w:t>из них: неправомерные расходы</w:t>
      </w:r>
      <w:r w:rsidR="00CC0955">
        <w:rPr>
          <w:rFonts w:ascii="Times New Roman" w:hAnsi="Times New Roman" w:cs="Times New Roman"/>
          <w:sz w:val="28"/>
          <w:szCs w:val="28"/>
        </w:rPr>
        <w:t xml:space="preserve"> 890,43 тыс. руб.</w:t>
      </w:r>
      <w:r w:rsidR="00CC0955" w:rsidRPr="00D57ECC">
        <w:rPr>
          <w:rFonts w:ascii="Times New Roman" w:hAnsi="Times New Roman" w:cs="Times New Roman"/>
          <w:sz w:val="28"/>
          <w:szCs w:val="28"/>
        </w:rPr>
        <w:t xml:space="preserve">, прочие нарушения – </w:t>
      </w:r>
      <w:r w:rsidR="00CC0955">
        <w:rPr>
          <w:rFonts w:ascii="Times New Roman" w:hAnsi="Times New Roman" w:cs="Times New Roman"/>
          <w:sz w:val="28"/>
          <w:szCs w:val="28"/>
        </w:rPr>
        <w:t>2 227,8</w:t>
      </w:r>
      <w:r w:rsidR="00995E45">
        <w:rPr>
          <w:rFonts w:ascii="Times New Roman" w:hAnsi="Times New Roman" w:cs="Times New Roman"/>
          <w:sz w:val="28"/>
          <w:szCs w:val="28"/>
        </w:rPr>
        <w:t>2</w:t>
      </w:r>
      <w:r w:rsidR="00CC0955" w:rsidRPr="00D57ECC">
        <w:rPr>
          <w:rFonts w:ascii="Times New Roman" w:hAnsi="Times New Roman" w:cs="Times New Roman"/>
          <w:sz w:val="28"/>
          <w:szCs w:val="28"/>
        </w:rPr>
        <w:t xml:space="preserve"> тыс.</w:t>
      </w:r>
      <w:r w:rsidR="00CC0955">
        <w:rPr>
          <w:rFonts w:ascii="Times New Roman" w:hAnsi="Times New Roman" w:cs="Times New Roman"/>
          <w:sz w:val="28"/>
          <w:szCs w:val="28"/>
        </w:rPr>
        <w:t xml:space="preserve"> </w:t>
      </w:r>
      <w:r w:rsidR="00CC0955" w:rsidRPr="00D57ECC">
        <w:rPr>
          <w:rFonts w:ascii="Times New Roman" w:hAnsi="Times New Roman" w:cs="Times New Roman"/>
          <w:sz w:val="28"/>
          <w:szCs w:val="28"/>
        </w:rPr>
        <w:t>руб</w:t>
      </w:r>
      <w:r w:rsidR="00CC0955" w:rsidRPr="00DB67A0">
        <w:rPr>
          <w:rFonts w:ascii="Times New Roman" w:hAnsi="Times New Roman" w:cs="Times New Roman"/>
          <w:sz w:val="28"/>
          <w:szCs w:val="28"/>
        </w:rPr>
        <w:t>.</w:t>
      </w:r>
      <w:r w:rsidR="00CC0955">
        <w:rPr>
          <w:rFonts w:ascii="Times New Roman" w:hAnsi="Times New Roman" w:cs="Times New Roman"/>
          <w:sz w:val="28"/>
          <w:szCs w:val="28"/>
        </w:rPr>
        <w:t xml:space="preserve"> </w:t>
      </w:r>
      <w:r w:rsidR="00CC0955" w:rsidRPr="00DB67A0">
        <w:rPr>
          <w:rFonts w:ascii="Times New Roman" w:hAnsi="Times New Roman" w:cs="Times New Roman"/>
          <w:sz w:val="28"/>
          <w:szCs w:val="28"/>
        </w:rPr>
        <w:t xml:space="preserve">(недоплата по </w:t>
      </w:r>
      <w:r w:rsidR="00CC0955">
        <w:rPr>
          <w:rFonts w:ascii="Times New Roman" w:hAnsi="Times New Roman" w:cs="Times New Roman"/>
          <w:sz w:val="28"/>
          <w:szCs w:val="28"/>
        </w:rPr>
        <w:t>субсидии</w:t>
      </w:r>
      <w:r w:rsidR="00CC0955" w:rsidRPr="00DB67A0">
        <w:rPr>
          <w:rFonts w:ascii="Times New Roman" w:hAnsi="Times New Roman" w:cs="Times New Roman"/>
          <w:sz w:val="28"/>
          <w:szCs w:val="28"/>
        </w:rPr>
        <w:t xml:space="preserve">, </w:t>
      </w:r>
      <w:r w:rsidR="00CC0955">
        <w:rPr>
          <w:rFonts w:ascii="Times New Roman" w:hAnsi="Times New Roman" w:cs="Times New Roman"/>
          <w:sz w:val="28"/>
          <w:szCs w:val="28"/>
        </w:rPr>
        <w:t>ведения бухгалтерского учета</w:t>
      </w:r>
      <w:r w:rsidR="00CC0955" w:rsidRPr="00DB67A0">
        <w:rPr>
          <w:rFonts w:ascii="Times New Roman" w:hAnsi="Times New Roman" w:cs="Times New Roman"/>
          <w:sz w:val="28"/>
          <w:szCs w:val="28"/>
        </w:rPr>
        <w:t xml:space="preserve">). </w:t>
      </w:r>
      <w:r w:rsidR="00BA1044" w:rsidRPr="00F87797"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BA1044">
        <w:rPr>
          <w:rFonts w:ascii="Times New Roman" w:hAnsi="Times New Roman" w:cs="Times New Roman"/>
          <w:sz w:val="28"/>
          <w:szCs w:val="28"/>
        </w:rPr>
        <w:t>ки</w:t>
      </w:r>
      <w:r w:rsidR="00BA1044" w:rsidRPr="00F87797">
        <w:rPr>
          <w:rFonts w:ascii="Times New Roman" w:hAnsi="Times New Roman" w:cs="Times New Roman"/>
          <w:sz w:val="28"/>
          <w:szCs w:val="28"/>
        </w:rPr>
        <w:t xml:space="preserve"> информация по устранению нарушений </w:t>
      </w:r>
      <w:r w:rsidR="00BA1044">
        <w:rPr>
          <w:rFonts w:ascii="Times New Roman" w:hAnsi="Times New Roman" w:cs="Times New Roman"/>
          <w:sz w:val="28"/>
          <w:szCs w:val="28"/>
        </w:rPr>
        <w:t>будет предоставлена КСП позже, так как сводный Акт контрольно</w:t>
      </w:r>
      <w:r w:rsidR="00F90C8F">
        <w:rPr>
          <w:rFonts w:ascii="Times New Roman" w:hAnsi="Times New Roman" w:cs="Times New Roman"/>
          <w:sz w:val="28"/>
          <w:szCs w:val="28"/>
        </w:rPr>
        <w:t>го</w:t>
      </w:r>
      <w:r w:rsidR="00BA104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0C8F">
        <w:rPr>
          <w:rFonts w:ascii="Times New Roman" w:hAnsi="Times New Roman" w:cs="Times New Roman"/>
          <w:sz w:val="28"/>
          <w:szCs w:val="28"/>
        </w:rPr>
        <w:t>я</w:t>
      </w:r>
      <w:r w:rsidR="00BA1044">
        <w:rPr>
          <w:rFonts w:ascii="Times New Roman" w:hAnsi="Times New Roman" w:cs="Times New Roman"/>
          <w:sz w:val="28"/>
          <w:szCs w:val="28"/>
        </w:rPr>
        <w:t xml:space="preserve"> </w:t>
      </w:r>
      <w:r w:rsidR="00BA1044" w:rsidRPr="00F87797">
        <w:rPr>
          <w:rFonts w:ascii="Times New Roman" w:hAnsi="Times New Roman" w:cs="Times New Roman"/>
          <w:sz w:val="28"/>
          <w:szCs w:val="28"/>
        </w:rPr>
        <w:t xml:space="preserve">от </w:t>
      </w:r>
      <w:r w:rsidR="00BA1044">
        <w:rPr>
          <w:rFonts w:ascii="Times New Roman" w:hAnsi="Times New Roman" w:cs="Times New Roman"/>
          <w:sz w:val="28"/>
          <w:szCs w:val="28"/>
        </w:rPr>
        <w:t>25.02.2020 года, находится на подписании.</w:t>
      </w:r>
    </w:p>
    <w:p w14:paraId="245259A4" w14:textId="77777777" w:rsidR="0022617B" w:rsidRPr="00CC0955" w:rsidRDefault="000D1805" w:rsidP="00CC09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45AEA4" w14:textId="77777777" w:rsidR="00162B3D" w:rsidRPr="00F90C8F" w:rsidRDefault="007A00DC" w:rsidP="00F90C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97">
        <w:rPr>
          <w:rFonts w:ascii="Times New Roman" w:hAnsi="Times New Roman" w:cs="Times New Roman"/>
          <w:i/>
          <w:sz w:val="28"/>
          <w:szCs w:val="28"/>
        </w:rPr>
        <w:t>В 2019 году</w:t>
      </w:r>
      <w:r w:rsidR="0022617B" w:rsidRPr="00F87797">
        <w:rPr>
          <w:rFonts w:ascii="Times New Roman" w:hAnsi="Times New Roman" w:cs="Times New Roman"/>
          <w:i/>
          <w:sz w:val="28"/>
          <w:szCs w:val="28"/>
        </w:rPr>
        <w:t xml:space="preserve"> начата проверка целевого использования средств в рамках Муниципальной программы Эвенкийского муниципального района «Реформирование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 на 2014-2021 годы» за 2017-2018 года</w:t>
      </w:r>
      <w:r w:rsidR="001A4C8B" w:rsidRPr="007A00DC">
        <w:rPr>
          <w:rFonts w:ascii="Times New Roman" w:hAnsi="Times New Roman" w:cs="Times New Roman"/>
          <w:sz w:val="28"/>
          <w:szCs w:val="28"/>
        </w:rPr>
        <w:t xml:space="preserve">. Получателями субсидии по указанной программе </w:t>
      </w:r>
      <w:r w:rsidRPr="007A00DC">
        <w:rPr>
          <w:rFonts w:ascii="Times New Roman" w:hAnsi="Times New Roman" w:cs="Times New Roman"/>
          <w:sz w:val="28"/>
          <w:szCs w:val="28"/>
        </w:rPr>
        <w:t>являются: Департамент инженерного обеспечения Администрации ЭМР, МП ЭМР «Илимпийские электросети», МП ЭМР «Илимпийские теплосети», МП ЭМР «Эвенкиянефтепродукт», МП ЭМР «</w:t>
      </w:r>
      <w:proofErr w:type="spellStart"/>
      <w:r w:rsidRPr="007A00DC">
        <w:rPr>
          <w:rFonts w:ascii="Times New Roman" w:hAnsi="Times New Roman" w:cs="Times New Roman"/>
          <w:sz w:val="28"/>
          <w:szCs w:val="28"/>
        </w:rPr>
        <w:t>Ванавараэнерго</w:t>
      </w:r>
      <w:proofErr w:type="spellEnd"/>
      <w:r w:rsidRPr="007A00DC">
        <w:rPr>
          <w:rFonts w:ascii="Times New Roman" w:hAnsi="Times New Roman" w:cs="Times New Roman"/>
          <w:sz w:val="28"/>
          <w:szCs w:val="28"/>
        </w:rPr>
        <w:t>», МКУП «</w:t>
      </w:r>
      <w:proofErr w:type="spellStart"/>
      <w:r w:rsidRPr="007A00DC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Pr="007A00DC">
        <w:rPr>
          <w:rFonts w:ascii="Times New Roman" w:hAnsi="Times New Roman" w:cs="Times New Roman"/>
          <w:sz w:val="28"/>
          <w:szCs w:val="28"/>
        </w:rPr>
        <w:t xml:space="preserve">», ООО «Ванаварская энергетическая компания», МП ЭМР «Байкитэнерго». </w:t>
      </w:r>
      <w:r w:rsidR="001A4C8B" w:rsidRPr="007A00DC">
        <w:rPr>
          <w:rFonts w:ascii="Times New Roman" w:hAnsi="Times New Roman" w:cs="Times New Roman"/>
          <w:sz w:val="28"/>
          <w:szCs w:val="28"/>
        </w:rPr>
        <w:t xml:space="preserve">За период 2019 года проведена проверка </w:t>
      </w:r>
      <w:r w:rsidRPr="007A00DC">
        <w:rPr>
          <w:rFonts w:ascii="Times New Roman" w:hAnsi="Times New Roman" w:cs="Times New Roman"/>
          <w:sz w:val="28"/>
          <w:szCs w:val="28"/>
        </w:rPr>
        <w:t xml:space="preserve">лишь </w:t>
      </w:r>
      <w:r w:rsidR="001A4C8B" w:rsidRPr="007A00DC">
        <w:rPr>
          <w:rFonts w:ascii="Times New Roman" w:hAnsi="Times New Roman" w:cs="Times New Roman"/>
          <w:sz w:val="28"/>
          <w:szCs w:val="28"/>
        </w:rPr>
        <w:t>у следующих получателей</w:t>
      </w:r>
      <w:r w:rsidRPr="007A00D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A4C8B" w:rsidRPr="007A00DC">
        <w:rPr>
          <w:rFonts w:ascii="Times New Roman" w:hAnsi="Times New Roman" w:cs="Times New Roman"/>
          <w:sz w:val="28"/>
          <w:szCs w:val="28"/>
        </w:rPr>
        <w:t xml:space="preserve"> </w:t>
      </w:r>
      <w:r w:rsidRPr="007A00DC">
        <w:rPr>
          <w:rFonts w:ascii="Times New Roman" w:hAnsi="Times New Roman" w:cs="Times New Roman"/>
          <w:sz w:val="28"/>
          <w:szCs w:val="28"/>
        </w:rPr>
        <w:t>МКУП «</w:t>
      </w:r>
      <w:proofErr w:type="spellStart"/>
      <w:r w:rsidRPr="007A00DC">
        <w:rPr>
          <w:rFonts w:ascii="Times New Roman" w:hAnsi="Times New Roman" w:cs="Times New Roman"/>
          <w:sz w:val="28"/>
          <w:szCs w:val="28"/>
        </w:rPr>
        <w:t>Ванаваракомсервис</w:t>
      </w:r>
      <w:proofErr w:type="spellEnd"/>
      <w:r w:rsidRPr="007A00DC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7A00DC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Pr="007A00DC">
        <w:rPr>
          <w:rFonts w:ascii="Times New Roman" w:hAnsi="Times New Roman" w:cs="Times New Roman"/>
          <w:sz w:val="28"/>
          <w:szCs w:val="28"/>
        </w:rPr>
        <w:t xml:space="preserve"> энергетическая компания». </w:t>
      </w:r>
      <w:r w:rsidR="00CC0955">
        <w:rPr>
          <w:rFonts w:ascii="Times New Roman" w:hAnsi="Times New Roman" w:cs="Times New Roman"/>
          <w:sz w:val="28"/>
          <w:szCs w:val="28"/>
        </w:rPr>
        <w:t xml:space="preserve">Проверено в 2019 году средств в сумме 299 843,75 тыс. руб. </w:t>
      </w:r>
      <w:r w:rsidR="00AD5949">
        <w:rPr>
          <w:rFonts w:ascii="Times New Roman" w:hAnsi="Times New Roman" w:cs="Times New Roman"/>
          <w:sz w:val="28"/>
          <w:szCs w:val="28"/>
        </w:rPr>
        <w:t>Данная работа продолжается в 2020 году</w:t>
      </w:r>
      <w:r w:rsidR="00F90C8F">
        <w:rPr>
          <w:rFonts w:ascii="Times New Roman" w:hAnsi="Times New Roman" w:cs="Times New Roman"/>
          <w:sz w:val="28"/>
          <w:szCs w:val="28"/>
        </w:rPr>
        <w:t>.</w:t>
      </w:r>
      <w:r w:rsidRPr="007A0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976B0" w14:textId="77777777" w:rsidR="004436C0" w:rsidRPr="00820E31" w:rsidRDefault="00D25F1E" w:rsidP="00D25F1E">
      <w:pPr>
        <w:pStyle w:val="ad"/>
        <w:jc w:val="both"/>
        <w:rPr>
          <w:i/>
          <w:color w:val="000000"/>
          <w:szCs w:val="28"/>
        </w:rPr>
      </w:pPr>
      <w:r w:rsidRPr="00820E31">
        <w:rPr>
          <w:i/>
          <w:color w:val="000000"/>
          <w:szCs w:val="28"/>
        </w:rPr>
        <w:t xml:space="preserve">         Важным направлением деятельности КСП в 20</w:t>
      </w:r>
      <w:r w:rsidR="000E29B6" w:rsidRPr="00820E31">
        <w:rPr>
          <w:i/>
          <w:color w:val="000000"/>
          <w:szCs w:val="28"/>
        </w:rPr>
        <w:t>1</w:t>
      </w:r>
      <w:r w:rsidR="00090A64">
        <w:rPr>
          <w:i/>
          <w:color w:val="000000"/>
          <w:szCs w:val="28"/>
        </w:rPr>
        <w:t>9</w:t>
      </w:r>
      <w:r w:rsidRPr="00820E31">
        <w:rPr>
          <w:i/>
          <w:color w:val="000000"/>
          <w:szCs w:val="28"/>
        </w:rPr>
        <w:t xml:space="preserve"> году являлась экспертно-аналитическая деятельность, которая включала в себя</w:t>
      </w:r>
      <w:r w:rsidR="0024682A" w:rsidRPr="00820E31">
        <w:rPr>
          <w:i/>
          <w:color w:val="000000"/>
          <w:szCs w:val="28"/>
        </w:rPr>
        <w:t xml:space="preserve"> следующие мероприятия</w:t>
      </w:r>
      <w:r w:rsidR="004436C0" w:rsidRPr="00820E31">
        <w:rPr>
          <w:i/>
          <w:color w:val="000000"/>
          <w:szCs w:val="28"/>
        </w:rPr>
        <w:t>:</w:t>
      </w:r>
    </w:p>
    <w:p w14:paraId="2F5AFEC0" w14:textId="77777777" w:rsidR="00B93B9C" w:rsidRPr="00820E31" w:rsidRDefault="004436C0" w:rsidP="004436C0">
      <w:pPr>
        <w:pStyle w:val="ad"/>
        <w:ind w:firstLine="708"/>
        <w:jc w:val="both"/>
        <w:rPr>
          <w:i/>
          <w:color w:val="000000"/>
          <w:szCs w:val="28"/>
        </w:rPr>
      </w:pPr>
      <w:r w:rsidRPr="00820E31">
        <w:rPr>
          <w:i/>
          <w:color w:val="000000"/>
          <w:szCs w:val="28"/>
        </w:rPr>
        <w:t>-</w:t>
      </w:r>
      <w:r w:rsidR="004C5D2C" w:rsidRPr="00820E31">
        <w:rPr>
          <w:i/>
          <w:color w:val="000000"/>
          <w:szCs w:val="28"/>
        </w:rPr>
        <w:t xml:space="preserve"> </w:t>
      </w:r>
      <w:r w:rsidRPr="00820E31">
        <w:rPr>
          <w:i/>
          <w:color w:val="000000"/>
          <w:szCs w:val="28"/>
        </w:rPr>
        <w:t xml:space="preserve">анализ </w:t>
      </w:r>
      <w:r w:rsidR="00B93B9C" w:rsidRPr="00820E31">
        <w:rPr>
          <w:i/>
          <w:color w:val="000000"/>
          <w:szCs w:val="28"/>
        </w:rPr>
        <w:t>и исполнение муниципальной программы «</w:t>
      </w:r>
      <w:r w:rsidR="004C5D2C" w:rsidRPr="00820E31">
        <w:rPr>
          <w:i/>
          <w:color w:val="000000"/>
          <w:szCs w:val="28"/>
        </w:rPr>
        <w:t>Развитие образования Эвенкийского муниципального района</w:t>
      </w:r>
      <w:r w:rsidR="00B93B9C" w:rsidRPr="00820E31">
        <w:rPr>
          <w:i/>
          <w:color w:val="000000"/>
          <w:szCs w:val="28"/>
        </w:rPr>
        <w:t>» за 201</w:t>
      </w:r>
      <w:r w:rsidR="004C5D2C" w:rsidRPr="00820E31">
        <w:rPr>
          <w:i/>
          <w:color w:val="000000"/>
          <w:szCs w:val="28"/>
        </w:rPr>
        <w:t>6</w:t>
      </w:r>
      <w:r w:rsidR="00B93B9C" w:rsidRPr="00820E31">
        <w:rPr>
          <w:i/>
          <w:color w:val="000000"/>
          <w:szCs w:val="28"/>
        </w:rPr>
        <w:t>-201</w:t>
      </w:r>
      <w:r w:rsidR="004C5D2C" w:rsidRPr="00820E31">
        <w:rPr>
          <w:i/>
          <w:color w:val="000000"/>
          <w:szCs w:val="28"/>
        </w:rPr>
        <w:t>7</w:t>
      </w:r>
      <w:r w:rsidR="00B93B9C" w:rsidRPr="00820E31">
        <w:rPr>
          <w:i/>
          <w:color w:val="000000"/>
          <w:szCs w:val="28"/>
        </w:rPr>
        <w:t xml:space="preserve"> года</w:t>
      </w:r>
      <w:r w:rsidR="00090A64">
        <w:rPr>
          <w:i/>
          <w:color w:val="000000"/>
          <w:szCs w:val="28"/>
        </w:rPr>
        <w:t>, переходящее мероприятие с 2018 года</w:t>
      </w:r>
      <w:r w:rsidR="00B93B9C" w:rsidRPr="00820E31">
        <w:rPr>
          <w:i/>
          <w:color w:val="000000"/>
          <w:szCs w:val="28"/>
        </w:rPr>
        <w:t>;</w:t>
      </w:r>
    </w:p>
    <w:p w14:paraId="50EBEA29" w14:textId="77777777" w:rsidR="00D25F1E" w:rsidRPr="00820E31" w:rsidRDefault="00B93B9C" w:rsidP="004436C0">
      <w:pPr>
        <w:pStyle w:val="ad"/>
        <w:ind w:firstLine="708"/>
        <w:jc w:val="both"/>
        <w:rPr>
          <w:i/>
          <w:color w:val="000000"/>
          <w:szCs w:val="28"/>
        </w:rPr>
      </w:pPr>
      <w:r w:rsidRPr="00820E31">
        <w:rPr>
          <w:i/>
          <w:color w:val="000000"/>
          <w:szCs w:val="28"/>
        </w:rPr>
        <w:t xml:space="preserve">- </w:t>
      </w:r>
      <w:r w:rsidR="00D25F1E" w:rsidRPr="00820E31">
        <w:rPr>
          <w:i/>
          <w:color w:val="000000"/>
          <w:szCs w:val="28"/>
        </w:rPr>
        <w:t xml:space="preserve">экспертизу проектов районного бюджета и бюджетов сельских поселений муниципального района, проведение внешних проверок годовых отчетов об исполнении районного бюджета и бюджетов поселений. </w:t>
      </w:r>
    </w:p>
    <w:p w14:paraId="0582FBA4" w14:textId="77777777" w:rsidR="00B93B9C" w:rsidRDefault="00B93B9C" w:rsidP="004436C0">
      <w:pPr>
        <w:pStyle w:val="ad"/>
        <w:ind w:firstLine="708"/>
        <w:jc w:val="both"/>
        <w:rPr>
          <w:color w:val="000000"/>
          <w:szCs w:val="28"/>
        </w:rPr>
      </w:pPr>
    </w:p>
    <w:p w14:paraId="0CFC86C4" w14:textId="77777777" w:rsidR="00743B22" w:rsidRDefault="00C872CA" w:rsidP="0074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3B22">
        <w:rPr>
          <w:rFonts w:ascii="Times New Roman" w:hAnsi="Times New Roman" w:cs="Times New Roman"/>
          <w:sz w:val="28"/>
          <w:szCs w:val="28"/>
        </w:rPr>
        <w:tab/>
      </w:r>
      <w:r w:rsidRPr="00090A64">
        <w:rPr>
          <w:rFonts w:ascii="Times New Roman" w:hAnsi="Times New Roman" w:cs="Times New Roman"/>
          <w:i/>
          <w:sz w:val="28"/>
          <w:szCs w:val="28"/>
        </w:rPr>
        <w:t>В 201</w:t>
      </w:r>
      <w:r w:rsidR="00820E31" w:rsidRPr="00090A64">
        <w:rPr>
          <w:rFonts w:ascii="Times New Roman" w:hAnsi="Times New Roman" w:cs="Times New Roman"/>
          <w:i/>
          <w:sz w:val="28"/>
          <w:szCs w:val="28"/>
        </w:rPr>
        <w:t>9</w:t>
      </w:r>
      <w:r w:rsidRPr="00090A64">
        <w:rPr>
          <w:rFonts w:ascii="Times New Roman" w:hAnsi="Times New Roman" w:cs="Times New Roman"/>
          <w:i/>
          <w:sz w:val="28"/>
          <w:szCs w:val="28"/>
        </w:rPr>
        <w:t xml:space="preserve"> году Контрольно-счетной палатой в соответствии с планом работы </w:t>
      </w:r>
      <w:r w:rsidR="00994D57">
        <w:rPr>
          <w:rFonts w:ascii="Times New Roman" w:hAnsi="Times New Roman" w:cs="Times New Roman"/>
          <w:i/>
          <w:sz w:val="28"/>
          <w:szCs w:val="28"/>
        </w:rPr>
        <w:t xml:space="preserve">завершено </w:t>
      </w:r>
      <w:r w:rsidR="004B4D97" w:rsidRPr="00090A64">
        <w:rPr>
          <w:rFonts w:ascii="Times New Roman" w:hAnsi="Times New Roman" w:cs="Times New Roman"/>
          <w:i/>
          <w:sz w:val="28"/>
          <w:szCs w:val="28"/>
        </w:rPr>
        <w:t>проведение</w:t>
      </w:r>
      <w:r w:rsidR="00C609EB" w:rsidRPr="00090A64">
        <w:rPr>
          <w:rFonts w:ascii="Times New Roman" w:hAnsi="Times New Roman" w:cs="Times New Roman"/>
          <w:i/>
          <w:sz w:val="28"/>
          <w:szCs w:val="28"/>
        </w:rPr>
        <w:t xml:space="preserve"> экспертно-аналитическо</w:t>
      </w:r>
      <w:r w:rsidR="004B4D97" w:rsidRPr="00090A64">
        <w:rPr>
          <w:rFonts w:ascii="Times New Roman" w:hAnsi="Times New Roman" w:cs="Times New Roman"/>
          <w:i/>
          <w:sz w:val="28"/>
          <w:szCs w:val="28"/>
        </w:rPr>
        <w:t>го</w:t>
      </w:r>
      <w:r w:rsidR="00C609EB" w:rsidRPr="00090A64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 w:rsidR="004B4D97" w:rsidRPr="00090A64">
        <w:rPr>
          <w:rFonts w:ascii="Times New Roman" w:hAnsi="Times New Roman" w:cs="Times New Roman"/>
          <w:i/>
          <w:sz w:val="28"/>
          <w:szCs w:val="28"/>
        </w:rPr>
        <w:t>я</w:t>
      </w:r>
      <w:r w:rsidR="00C609EB" w:rsidRPr="00090A64">
        <w:rPr>
          <w:rFonts w:ascii="Times New Roman" w:hAnsi="Times New Roman" w:cs="Times New Roman"/>
          <w:i/>
          <w:sz w:val="28"/>
          <w:szCs w:val="28"/>
        </w:rPr>
        <w:t xml:space="preserve"> «Анализ и исполнение муниципальной программы «</w:t>
      </w:r>
      <w:r w:rsidR="004C5D2C" w:rsidRPr="00090A64">
        <w:rPr>
          <w:rFonts w:ascii="Times New Roman" w:hAnsi="Times New Roman" w:cs="Times New Roman"/>
          <w:i/>
          <w:sz w:val="28"/>
          <w:szCs w:val="28"/>
        </w:rPr>
        <w:t>Развитие образования Эвенкийского муниципального района</w:t>
      </w:r>
      <w:r w:rsidR="00C609EB" w:rsidRPr="00090A64">
        <w:rPr>
          <w:rFonts w:ascii="Times New Roman" w:hAnsi="Times New Roman" w:cs="Times New Roman"/>
          <w:i/>
          <w:sz w:val="28"/>
          <w:szCs w:val="28"/>
        </w:rPr>
        <w:t>» за 201</w:t>
      </w:r>
      <w:r w:rsidR="004C5D2C" w:rsidRPr="00090A64">
        <w:rPr>
          <w:rFonts w:ascii="Times New Roman" w:hAnsi="Times New Roman" w:cs="Times New Roman"/>
          <w:i/>
          <w:sz w:val="28"/>
          <w:szCs w:val="28"/>
        </w:rPr>
        <w:t>6</w:t>
      </w:r>
      <w:r w:rsidR="00C609EB" w:rsidRPr="00090A64">
        <w:rPr>
          <w:rFonts w:ascii="Times New Roman" w:hAnsi="Times New Roman" w:cs="Times New Roman"/>
          <w:i/>
          <w:sz w:val="28"/>
          <w:szCs w:val="28"/>
        </w:rPr>
        <w:t>-201</w:t>
      </w:r>
      <w:r w:rsidR="004C5D2C" w:rsidRPr="00090A64">
        <w:rPr>
          <w:rFonts w:ascii="Times New Roman" w:hAnsi="Times New Roman" w:cs="Times New Roman"/>
          <w:i/>
          <w:sz w:val="28"/>
          <w:szCs w:val="28"/>
        </w:rPr>
        <w:t>7</w:t>
      </w:r>
      <w:r w:rsidR="004B4D97" w:rsidRPr="00090A64">
        <w:rPr>
          <w:rFonts w:ascii="Times New Roman" w:hAnsi="Times New Roman" w:cs="Times New Roman"/>
          <w:i/>
          <w:sz w:val="28"/>
          <w:szCs w:val="28"/>
        </w:rPr>
        <w:t xml:space="preserve"> годы.</w:t>
      </w:r>
      <w:r w:rsidR="00743B22" w:rsidRPr="00743B22">
        <w:rPr>
          <w:rFonts w:ascii="Times New Roman" w:hAnsi="Times New Roman" w:cs="Times New Roman"/>
          <w:sz w:val="28"/>
          <w:szCs w:val="28"/>
        </w:rPr>
        <w:t xml:space="preserve"> </w:t>
      </w:r>
      <w:r w:rsidR="00743B22">
        <w:rPr>
          <w:rFonts w:ascii="Times New Roman" w:hAnsi="Times New Roman" w:cs="Times New Roman"/>
          <w:sz w:val="28"/>
          <w:szCs w:val="28"/>
        </w:rPr>
        <w:t>Программа включает в себя 47 бюджетополучателей</w:t>
      </w:r>
      <w:r w:rsidR="00A73B19">
        <w:rPr>
          <w:rFonts w:ascii="Times New Roman" w:hAnsi="Times New Roman" w:cs="Times New Roman"/>
          <w:sz w:val="28"/>
          <w:szCs w:val="28"/>
        </w:rPr>
        <w:t xml:space="preserve"> (анализ проводился 2018-2019 годах)</w:t>
      </w:r>
      <w:r w:rsidR="00743B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ACBEB" w14:textId="77777777" w:rsidR="00743B22" w:rsidRDefault="00743B22" w:rsidP="00743B22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2B9">
        <w:rPr>
          <w:rFonts w:ascii="Times New Roman" w:hAnsi="Times New Roman" w:cs="Times New Roman"/>
          <w:i/>
          <w:sz w:val="28"/>
          <w:szCs w:val="28"/>
        </w:rPr>
        <w:t>Объем финансирования подпрограммы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54FDD17C" w14:textId="77777777" w:rsidR="00743B22" w:rsidRPr="002C22B9" w:rsidRDefault="00743B22" w:rsidP="00743B22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Pr="002C22B9">
        <w:rPr>
          <w:rFonts w:ascii="Times New Roman" w:hAnsi="Times New Roman" w:cs="Times New Roman"/>
          <w:i/>
          <w:sz w:val="28"/>
          <w:szCs w:val="28"/>
        </w:rPr>
        <w:t xml:space="preserve"> 2016 год – 1 535 320,1 тыс. руб., в том числе:</w:t>
      </w:r>
    </w:p>
    <w:p w14:paraId="285A5718" w14:textId="77777777" w:rsidR="00743B22" w:rsidRPr="00D97402" w:rsidRDefault="00743B22" w:rsidP="0074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656 347,50 тыс. руб. -</w:t>
      </w:r>
      <w:r w:rsidRPr="00D97402">
        <w:rPr>
          <w:rFonts w:ascii="Times New Roman" w:hAnsi="Times New Roman" w:cs="Times New Roman"/>
          <w:sz w:val="28"/>
          <w:szCs w:val="28"/>
        </w:rPr>
        <w:t xml:space="preserve"> средства краевого бюджета;</w:t>
      </w:r>
    </w:p>
    <w:p w14:paraId="2CCBED6A" w14:textId="77777777" w:rsidR="00743B22" w:rsidRPr="00D97402" w:rsidRDefault="00743B22" w:rsidP="0074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97402">
        <w:rPr>
          <w:rFonts w:ascii="Times New Roman" w:hAnsi="Times New Roman" w:cs="Times New Roman"/>
          <w:sz w:val="28"/>
          <w:szCs w:val="28"/>
        </w:rPr>
        <w:tab/>
        <w:t>878 972,60 тыс. руб. -  средства районного бюджета.</w:t>
      </w:r>
    </w:p>
    <w:p w14:paraId="265FD01B" w14:textId="77777777" w:rsidR="00743B22" w:rsidRPr="00743B22" w:rsidRDefault="00743B22" w:rsidP="00743B22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B22">
        <w:rPr>
          <w:rFonts w:ascii="Times New Roman" w:hAnsi="Times New Roman" w:cs="Times New Roman"/>
          <w:i/>
          <w:sz w:val="28"/>
          <w:szCs w:val="28"/>
        </w:rPr>
        <w:t xml:space="preserve">  - 2017 год – 1 561 178,40 тыс. руб., в том числе:</w:t>
      </w:r>
    </w:p>
    <w:p w14:paraId="44BF520F" w14:textId="77777777" w:rsidR="00743B22" w:rsidRPr="00D97402" w:rsidRDefault="00743B22" w:rsidP="0074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687 780,90 тыс. руб. -</w:t>
      </w:r>
      <w:r w:rsidRPr="00D97402">
        <w:rPr>
          <w:rFonts w:ascii="Times New Roman" w:hAnsi="Times New Roman" w:cs="Times New Roman"/>
          <w:sz w:val="28"/>
          <w:szCs w:val="28"/>
        </w:rPr>
        <w:t xml:space="preserve"> средства краевого бюджета;</w:t>
      </w:r>
    </w:p>
    <w:p w14:paraId="7ABBD067" w14:textId="77777777" w:rsidR="00743B22" w:rsidRPr="00D97402" w:rsidRDefault="00743B22" w:rsidP="00743B2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873 397,50 тыс. руб. -</w:t>
      </w:r>
      <w:r w:rsidRPr="00D97402">
        <w:rPr>
          <w:rFonts w:ascii="Times New Roman" w:hAnsi="Times New Roman" w:cs="Times New Roman"/>
          <w:sz w:val="28"/>
          <w:szCs w:val="28"/>
        </w:rPr>
        <w:t xml:space="preserve"> средства краевого бюджета.</w:t>
      </w:r>
    </w:p>
    <w:p w14:paraId="12370026" w14:textId="77777777" w:rsidR="00820E31" w:rsidRPr="00820E31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>Анализ и исполнение муниципальной программы «Развитие образования» за 2016-2017 годы показал:</w:t>
      </w:r>
    </w:p>
    <w:p w14:paraId="630D67AD" w14:textId="6E5A2CC5" w:rsidR="00820E31" w:rsidRPr="00820E31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 xml:space="preserve">1. В паспорте </w:t>
      </w:r>
      <w:r w:rsidR="00E870AB" w:rsidRPr="00820E31">
        <w:rPr>
          <w:rFonts w:ascii="Times New Roman" w:hAnsi="Times New Roman" w:cs="Times New Roman"/>
          <w:sz w:val="28"/>
          <w:szCs w:val="28"/>
        </w:rPr>
        <w:t>программы и</w:t>
      </w:r>
      <w:r w:rsidRPr="00820E31">
        <w:rPr>
          <w:rFonts w:ascii="Times New Roman" w:hAnsi="Times New Roman" w:cs="Times New Roman"/>
          <w:sz w:val="28"/>
          <w:szCs w:val="28"/>
        </w:rPr>
        <w:t xml:space="preserve"> подпрограмм не откорректировано количество учреждений, участников программы, так программой предусмотрено 18 дошкольных образовательных организаций, фактически их число </w:t>
      </w:r>
      <w:r w:rsidR="00E870AB" w:rsidRPr="00820E31">
        <w:rPr>
          <w:rFonts w:ascii="Times New Roman" w:hAnsi="Times New Roman" w:cs="Times New Roman"/>
          <w:sz w:val="28"/>
          <w:szCs w:val="28"/>
        </w:rPr>
        <w:t>составляло 19</w:t>
      </w:r>
      <w:r w:rsidRPr="00820E31">
        <w:rPr>
          <w:rFonts w:ascii="Times New Roman" w:hAnsi="Times New Roman" w:cs="Times New Roman"/>
          <w:sz w:val="28"/>
          <w:szCs w:val="28"/>
        </w:rPr>
        <w:t>.</w:t>
      </w:r>
    </w:p>
    <w:p w14:paraId="144F48B1" w14:textId="77777777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ab/>
        <w:t>2. Согласно приложению №2 «Перечень мероприятий подпрограммы с указанием объема средств на их реализацию и ожидаемых результатов» к подпрограмме</w:t>
      </w:r>
      <w:r w:rsidRPr="00201335">
        <w:rPr>
          <w:rFonts w:ascii="Times New Roman" w:hAnsi="Times New Roman" w:cs="Times New Roman"/>
          <w:sz w:val="28"/>
          <w:szCs w:val="28"/>
        </w:rPr>
        <w:t xml:space="preserve"> 1 «Развитие дошкольного, общего и дополнительного образования детей» Департамент капитального строительства администрации Эвенкийского муниципального района является главным распорядителем бюджетных средств мероприятий в части строительства, реконструкции и капитального ремонта зданий муниципальных образовательных организаций.</w:t>
      </w:r>
    </w:p>
    <w:p w14:paraId="40A476E8" w14:textId="77777777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ab/>
        <w:t>В нарушение п.4 постановления от 01.07.2013 г. №468-п  «Об утверждении порядка принятия решений о разработке муниципальных программ Эвенкийского муниципального района, их формировании и реализации» в паспорте подпрограммы 1 «Развитие дошкольного, общего и дополнительного образования детей» в строке «Исполнители мероприятий  подпрограммы, главные распорядители бюджетных средств» не указан Департамент капитального строительства администрации Эвенкийского муниципального района.</w:t>
      </w:r>
    </w:p>
    <w:p w14:paraId="00727C80" w14:textId="537AF3B4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ab/>
      </w:r>
      <w:r w:rsidRPr="00820E31">
        <w:rPr>
          <w:rFonts w:ascii="Times New Roman" w:hAnsi="Times New Roman" w:cs="Times New Roman"/>
          <w:sz w:val="28"/>
          <w:szCs w:val="28"/>
        </w:rPr>
        <w:t>3.</w:t>
      </w:r>
      <w:r w:rsidRPr="00201335">
        <w:rPr>
          <w:rFonts w:ascii="Times New Roman" w:hAnsi="Times New Roman" w:cs="Times New Roman"/>
          <w:sz w:val="28"/>
          <w:szCs w:val="28"/>
        </w:rPr>
        <w:t xml:space="preserve"> В разделе 2.3 «Механизм реализации подпрограммы» </w:t>
      </w:r>
      <w:r w:rsidR="00E870AB" w:rsidRPr="00201335">
        <w:rPr>
          <w:rFonts w:ascii="Times New Roman" w:hAnsi="Times New Roman" w:cs="Times New Roman"/>
          <w:sz w:val="28"/>
          <w:szCs w:val="28"/>
        </w:rPr>
        <w:t>подпрограммы 1</w:t>
      </w:r>
      <w:r w:rsidRPr="00201335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 отсутствуют ссылки на нормативные акты администрации Эвенкийского муниципального района, предусматривающие:</w:t>
      </w:r>
    </w:p>
    <w:p w14:paraId="431EE249" w14:textId="77777777" w:rsidR="00820E31" w:rsidRPr="00201335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>- «Порядок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задания».</w:t>
      </w:r>
    </w:p>
    <w:p w14:paraId="12DBF5AC" w14:textId="77777777" w:rsidR="00820E31" w:rsidRPr="00201335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 xml:space="preserve">- «Порядок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</w:t>
      </w:r>
      <w:r w:rsidRPr="00820E31">
        <w:rPr>
          <w:rFonts w:ascii="Times New Roman" w:hAnsi="Times New Roman" w:cs="Times New Roman"/>
          <w:sz w:val="28"/>
          <w:szCs w:val="28"/>
        </w:rPr>
        <w:t>(выполнения работ).</w:t>
      </w:r>
      <w:r w:rsidRPr="00201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C7CB0" w14:textId="77777777" w:rsidR="00820E31" w:rsidRPr="00201335" w:rsidRDefault="00820E31" w:rsidP="00994D5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35">
        <w:rPr>
          <w:rFonts w:ascii="Times New Roman" w:hAnsi="Times New Roman" w:cs="Times New Roman"/>
          <w:sz w:val="28"/>
          <w:szCs w:val="28"/>
        </w:rPr>
        <w:t xml:space="preserve">Установлено несоответствие данных решений Эвенкийского районного Совета депутатов и постановлений администрации об утверждении </w:t>
      </w:r>
      <w:r w:rsidRPr="0020133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"Развитие образования Эвенкийского муниципального района", в результате несвоевременного внесения изменений в постановления администрации</w:t>
      </w:r>
      <w:r w:rsidRPr="0020133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20133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"Развитие образования Эвенкийского муниципального района".</w:t>
      </w:r>
    </w:p>
    <w:p w14:paraId="2BF81E11" w14:textId="77777777" w:rsidR="00820E31" w:rsidRPr="00201335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>5.</w:t>
      </w:r>
      <w:r w:rsidRPr="00201335">
        <w:rPr>
          <w:rFonts w:ascii="Times New Roman" w:hAnsi="Times New Roman" w:cs="Times New Roman"/>
          <w:sz w:val="28"/>
          <w:szCs w:val="28"/>
        </w:rPr>
        <w:t xml:space="preserve"> Установлено расхождение между решениями Эвенкийского районного Совета депутатов и данными проверки за 2016 год в сумме 184,0 тыс. руб. </w:t>
      </w:r>
    </w:p>
    <w:p w14:paraId="68A63981" w14:textId="77777777" w:rsidR="00820E31" w:rsidRPr="00201335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 xml:space="preserve">Так, в решении Эвенкийского районного Совета депутатов от 22.06.2017г. №4-1590-1 «Об утверждении отчета  об исполнении районного бюджета за 2016 год» в разделе «Образование» предусмотрена строка «Проведение с детьми массовых мероприятий, направленных на формирование навыков безопасного поведения на дорогах в рамках подпрограммы «Безопасность дорожного движения» муниципальной программы «Поддержка транспортной системы Эвенкийского муниципального района». </w:t>
      </w:r>
    </w:p>
    <w:p w14:paraId="4BF90711" w14:textId="77777777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ab/>
        <w:t>В муниципальной программе «Поддержка транспортной системы Эвенкийского муниципального района» отсутствует подпрограмма «Безопасность дорожного движения».</w:t>
      </w:r>
    </w:p>
    <w:p w14:paraId="2B910506" w14:textId="77777777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ab/>
        <w:t>Подпрограммой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  предусмотрено мероприятие:</w:t>
      </w:r>
    </w:p>
    <w:p w14:paraId="757A7598" w14:textId="77777777" w:rsidR="00820E31" w:rsidRPr="00201335" w:rsidRDefault="00820E31" w:rsidP="00820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33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2013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335">
        <w:rPr>
          <w:rFonts w:ascii="Times New Roman" w:hAnsi="Times New Roman" w:cs="Times New Roman"/>
          <w:sz w:val="28"/>
          <w:szCs w:val="28"/>
        </w:rPr>
        <w:t xml:space="preserve"> субсидии регионального бюджета на проведение мероприятий, направленных на обеспечение безопасного участия детей в дорожном движении за счет средств местного бюджета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района", что не соответствует данным решения.</w:t>
      </w:r>
    </w:p>
    <w:p w14:paraId="75FE2DD2" w14:textId="77777777" w:rsidR="00820E31" w:rsidRPr="00201335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>6.</w:t>
      </w:r>
      <w:r w:rsidRPr="00201335">
        <w:rPr>
          <w:rFonts w:ascii="Times New Roman" w:hAnsi="Times New Roman" w:cs="Times New Roman"/>
          <w:sz w:val="28"/>
          <w:szCs w:val="28"/>
        </w:rPr>
        <w:t xml:space="preserve"> Низкий уровень работы между управлением образования и департаментом капитального строительства администрации ЭМР.</w:t>
      </w:r>
      <w:r w:rsidRPr="0020133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201335">
        <w:rPr>
          <w:rFonts w:ascii="Times New Roman" w:hAnsi="Times New Roman" w:cs="Times New Roman"/>
          <w:sz w:val="28"/>
          <w:szCs w:val="28"/>
        </w:rPr>
        <w:t>Отсутствие отчетности департамента капитального строительства администрации ЭМР о ходе реализации программных мероприятий.</w:t>
      </w:r>
    </w:p>
    <w:p w14:paraId="3330B6D1" w14:textId="77777777" w:rsidR="00820E31" w:rsidRDefault="00820E31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E31">
        <w:rPr>
          <w:rFonts w:ascii="Times New Roman" w:hAnsi="Times New Roman" w:cs="Times New Roman"/>
          <w:sz w:val="28"/>
          <w:szCs w:val="28"/>
        </w:rPr>
        <w:t>7</w:t>
      </w:r>
      <w:r w:rsidRPr="00201335">
        <w:rPr>
          <w:rFonts w:ascii="Times New Roman" w:hAnsi="Times New Roman" w:cs="Times New Roman"/>
          <w:b/>
          <w:sz w:val="28"/>
          <w:szCs w:val="28"/>
        </w:rPr>
        <w:t>.</w:t>
      </w:r>
      <w:r w:rsidRPr="00201335">
        <w:rPr>
          <w:rFonts w:ascii="Times New Roman" w:hAnsi="Times New Roman" w:cs="Times New Roman"/>
          <w:sz w:val="28"/>
          <w:szCs w:val="28"/>
        </w:rPr>
        <w:t xml:space="preserve"> Не достаточный контроль со стороны управления экономики Администрации ЭМР за ходом реализации программы.</w:t>
      </w:r>
    </w:p>
    <w:p w14:paraId="6EE24E8F" w14:textId="77777777" w:rsidR="00E97D10" w:rsidRDefault="00E97D10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ECAD98" w14:textId="77777777" w:rsidR="008757ED" w:rsidRPr="008757ED" w:rsidRDefault="00E97D10" w:rsidP="008757E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7ED">
        <w:rPr>
          <w:rFonts w:ascii="Times New Roman" w:hAnsi="Times New Roman" w:cs="Times New Roman"/>
          <w:i/>
          <w:sz w:val="28"/>
          <w:szCs w:val="28"/>
        </w:rPr>
        <w:t>Также сотрудники КСП участвовали в проведении экспертно-аналитического мероприятия, проводимого Счетной палатой Красноярского края, «Анализ объектов незавершенного строительства по организациям, находящимся в ведении органов государственной власти края, и иным получателям средств краевого бюджета, получившим на цели строительства объектов бюджетны</w:t>
      </w:r>
      <w:r w:rsidR="0070636F" w:rsidRPr="008757ED">
        <w:rPr>
          <w:rFonts w:ascii="Times New Roman" w:hAnsi="Times New Roman" w:cs="Times New Roman"/>
          <w:i/>
          <w:sz w:val="28"/>
          <w:szCs w:val="28"/>
        </w:rPr>
        <w:t xml:space="preserve">е ассигнования из краевого бюджета». </w:t>
      </w:r>
      <w:r w:rsidR="0070636F" w:rsidRPr="008757ED">
        <w:rPr>
          <w:rFonts w:ascii="Times New Roman" w:hAnsi="Times New Roman" w:cs="Times New Roman"/>
          <w:sz w:val="28"/>
          <w:szCs w:val="28"/>
        </w:rPr>
        <w:t xml:space="preserve">Проведено обследование с целью установления наличия объекта на территории муниципального образования </w:t>
      </w:r>
      <w:r w:rsidR="00EA597F" w:rsidRPr="008757ED">
        <w:rPr>
          <w:rFonts w:ascii="Times New Roman" w:hAnsi="Times New Roman" w:cs="Times New Roman"/>
          <w:sz w:val="28"/>
          <w:szCs w:val="28"/>
        </w:rPr>
        <w:t xml:space="preserve">следующих объектов 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(с подготовкой акта осмотра</w:t>
      </w:r>
      <w:r w:rsidR="008757ED">
        <w:rPr>
          <w:rFonts w:ascii="Times New Roman" w:hAnsi="Times New Roman" w:cs="Times New Roman"/>
          <w:sz w:val="28"/>
          <w:szCs w:val="28"/>
        </w:rPr>
        <w:t>, фотографий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):</w:t>
      </w:r>
      <w:r w:rsidR="008757ED">
        <w:rPr>
          <w:rFonts w:ascii="Times New Roman" w:hAnsi="Times New Roman" w:cs="Times New Roman"/>
          <w:sz w:val="28"/>
          <w:szCs w:val="28"/>
        </w:rPr>
        <w:t xml:space="preserve"> 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Центральная районная больница на 80 коек</w:t>
      </w:r>
      <w:r w:rsidR="008757ED">
        <w:rPr>
          <w:rFonts w:ascii="Times New Roman" w:hAnsi="Times New Roman" w:cs="Times New Roman"/>
          <w:sz w:val="28"/>
          <w:szCs w:val="28"/>
        </w:rPr>
        <w:t xml:space="preserve"> - </w:t>
      </w:r>
      <w:r w:rsidR="007B6178" w:rsidRPr="007B6178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«Ванаварская районная больница №2</w:t>
      </w:r>
      <w:r w:rsidR="008757ED" w:rsidRPr="007B6178">
        <w:rPr>
          <w:rFonts w:ascii="Times New Roman" w:eastAsia="Times New Roman" w:hAnsi="Times New Roman" w:cs="Times New Roman"/>
          <w:sz w:val="28"/>
          <w:szCs w:val="28"/>
        </w:rPr>
        <w:t>;</w:t>
      </w:r>
      <w:r w:rsidR="008757ED">
        <w:rPr>
          <w:rFonts w:ascii="Times New Roman" w:hAnsi="Times New Roman" w:cs="Times New Roman"/>
          <w:sz w:val="28"/>
          <w:szCs w:val="28"/>
        </w:rPr>
        <w:t xml:space="preserve"> 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Быстровозводимая крытая спортивная площадка в п. Тура Эвенкийского   района</w:t>
      </w:r>
      <w:r w:rsidR="007B6178">
        <w:rPr>
          <w:rFonts w:ascii="Times New Roman" w:hAnsi="Times New Roman" w:cs="Times New Roman"/>
          <w:sz w:val="28"/>
          <w:szCs w:val="28"/>
        </w:rPr>
        <w:t xml:space="preserve"> - спортивный зал п. Тура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;</w:t>
      </w:r>
      <w:r w:rsidR="008757ED">
        <w:rPr>
          <w:rFonts w:ascii="Times New Roman" w:hAnsi="Times New Roman" w:cs="Times New Roman"/>
          <w:sz w:val="28"/>
          <w:szCs w:val="28"/>
        </w:rPr>
        <w:t xml:space="preserve"> 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бюджетное образовательное учреждение    «Туринская школа»</w:t>
      </w:r>
      <w:r w:rsidR="008757ED">
        <w:rPr>
          <w:rFonts w:ascii="Times New Roman" w:hAnsi="Times New Roman" w:cs="Times New Roman"/>
          <w:sz w:val="28"/>
          <w:szCs w:val="28"/>
        </w:rPr>
        <w:t xml:space="preserve"> - </w:t>
      </w:r>
      <w:r w:rsidR="008757ED" w:rsidRPr="008757ED">
        <w:rPr>
          <w:rFonts w:ascii="Times New Roman" w:hAnsi="Times New Roman" w:cs="Times New Roman"/>
          <w:sz w:val="28"/>
          <w:szCs w:val="28"/>
        </w:rPr>
        <w:t xml:space="preserve">«Туринская специальная (коррекционная) общеобразовательная школа-интернат </w:t>
      </w:r>
      <w:r w:rsidR="008757ED" w:rsidRPr="008757E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757ED" w:rsidRPr="008757ED">
        <w:rPr>
          <w:rFonts w:ascii="Times New Roman" w:hAnsi="Times New Roman" w:cs="Times New Roman"/>
          <w:sz w:val="28"/>
          <w:szCs w:val="28"/>
        </w:rPr>
        <w:t xml:space="preserve"> вида»</w:t>
      </w:r>
      <w:r w:rsidR="008757ED" w:rsidRPr="008757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CCA4EA" w14:textId="77777777" w:rsidR="005815E9" w:rsidRDefault="005815E9" w:rsidP="00D25F1E">
      <w:pPr>
        <w:pStyle w:val="ad"/>
        <w:jc w:val="both"/>
        <w:rPr>
          <w:color w:val="000000"/>
          <w:szCs w:val="28"/>
        </w:rPr>
      </w:pPr>
    </w:p>
    <w:p w14:paraId="19DF9939" w14:textId="77777777" w:rsidR="00703A9B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color w:val="000000"/>
          <w:szCs w:val="28"/>
        </w:rPr>
        <w:t xml:space="preserve"> </w:t>
      </w:r>
      <w:r w:rsidR="0089729E">
        <w:rPr>
          <w:color w:val="000000"/>
          <w:szCs w:val="28"/>
        </w:rPr>
        <w:tab/>
      </w:r>
      <w:r w:rsidRPr="00B93B9C">
        <w:rPr>
          <w:color w:val="000000"/>
          <w:szCs w:val="28"/>
        </w:rPr>
        <w:t xml:space="preserve"> </w:t>
      </w:r>
      <w:r w:rsidRPr="00820E31">
        <w:rPr>
          <w:i/>
          <w:color w:val="000000"/>
          <w:szCs w:val="28"/>
        </w:rPr>
        <w:t xml:space="preserve">В рамках последующего контроля, в соответствии со статьей 264.4 </w:t>
      </w:r>
      <w:r w:rsidR="00A7447B" w:rsidRPr="00820E31">
        <w:rPr>
          <w:i/>
          <w:color w:val="000000"/>
          <w:szCs w:val="28"/>
        </w:rPr>
        <w:t>БК</w:t>
      </w:r>
      <w:r w:rsidRPr="00820E31">
        <w:rPr>
          <w:i/>
          <w:color w:val="000000"/>
          <w:szCs w:val="28"/>
        </w:rPr>
        <w:t xml:space="preserve"> РФ Контрольно-счетная палата готовила заключения о ходе исполнения районного бюджета и резервного фонда за 20</w:t>
      </w:r>
      <w:r w:rsidR="00D97995" w:rsidRPr="00820E31">
        <w:rPr>
          <w:i/>
          <w:color w:val="000000"/>
          <w:szCs w:val="28"/>
        </w:rPr>
        <w:t>18</w:t>
      </w:r>
      <w:r w:rsidRPr="00820E31">
        <w:rPr>
          <w:i/>
          <w:color w:val="000000"/>
          <w:szCs w:val="28"/>
        </w:rPr>
        <w:t xml:space="preserve"> год, а также  за 1 квартал, полугодие и 9 месяцев 201</w:t>
      </w:r>
      <w:r w:rsidR="00D97995" w:rsidRPr="00820E31">
        <w:rPr>
          <w:i/>
          <w:color w:val="000000"/>
          <w:szCs w:val="28"/>
        </w:rPr>
        <w:t>9</w:t>
      </w:r>
      <w:r w:rsidRPr="00820E31">
        <w:rPr>
          <w:i/>
          <w:color w:val="000000"/>
          <w:szCs w:val="28"/>
        </w:rPr>
        <w:t xml:space="preserve"> года.</w:t>
      </w:r>
      <w:r w:rsidRPr="00B93B9C">
        <w:rPr>
          <w:szCs w:val="28"/>
        </w:rPr>
        <w:t xml:space="preserve"> По проведенным мероприятиям Контрольно-счетной палатой подготовлено </w:t>
      </w:r>
      <w:r w:rsidR="00B71012">
        <w:rPr>
          <w:szCs w:val="28"/>
        </w:rPr>
        <w:t>23</w:t>
      </w:r>
      <w:r w:rsidRPr="00B93B9C">
        <w:rPr>
          <w:szCs w:val="28"/>
        </w:rPr>
        <w:t xml:space="preserve"> предложени</w:t>
      </w:r>
      <w:r w:rsidR="00130E66">
        <w:rPr>
          <w:szCs w:val="28"/>
        </w:rPr>
        <w:t>я</w:t>
      </w:r>
      <w:r w:rsidRPr="00B93B9C">
        <w:rPr>
          <w:szCs w:val="28"/>
        </w:rPr>
        <w:t xml:space="preserve">, которые были учтены при принятии решений. </w:t>
      </w:r>
    </w:p>
    <w:p w14:paraId="3205EEFB" w14:textId="77777777" w:rsidR="00D25F1E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szCs w:val="28"/>
        </w:rPr>
        <w:t xml:space="preserve">        </w:t>
      </w:r>
      <w:r w:rsidR="00B71012">
        <w:rPr>
          <w:szCs w:val="28"/>
        </w:rPr>
        <w:t xml:space="preserve">   </w:t>
      </w:r>
      <w:r w:rsidRPr="00820E31">
        <w:rPr>
          <w:i/>
          <w:szCs w:val="28"/>
        </w:rPr>
        <w:t>Контрольно-счетной палатой ЭМР за 201</w:t>
      </w:r>
      <w:r w:rsidR="00B71012" w:rsidRPr="00820E31">
        <w:rPr>
          <w:i/>
          <w:szCs w:val="28"/>
        </w:rPr>
        <w:t>9</w:t>
      </w:r>
      <w:r w:rsidRPr="00820E31">
        <w:rPr>
          <w:i/>
          <w:szCs w:val="28"/>
        </w:rPr>
        <w:t xml:space="preserve"> год подготовлено </w:t>
      </w:r>
      <w:r w:rsidR="00B71012" w:rsidRPr="00820E31">
        <w:rPr>
          <w:i/>
          <w:szCs w:val="28"/>
        </w:rPr>
        <w:t>263</w:t>
      </w:r>
      <w:r w:rsidRPr="00820E31">
        <w:rPr>
          <w:i/>
          <w:szCs w:val="28"/>
        </w:rPr>
        <w:t xml:space="preserve"> заключени</w:t>
      </w:r>
      <w:r w:rsidR="00F328D7">
        <w:rPr>
          <w:i/>
          <w:szCs w:val="28"/>
        </w:rPr>
        <w:t>я</w:t>
      </w:r>
      <w:r w:rsidRPr="00B93B9C">
        <w:rPr>
          <w:szCs w:val="28"/>
        </w:rPr>
        <w:t xml:space="preserve"> на проекты решений районного бюджета и бюджетов поселений, внесению в них изменений, на отчеты по исполнению бюджетов и резервного фонда, проектов решений по налогам, оплате труда и касающихся  разграничению имущества между муниципальными образованиями Эвенкийского муниципального района. Результаты проведенной финансово-экономической экспертизы проектов решений свидетельствуют об улучшении качества их подготовки. Доля проектов решений, по которым Контрольно-счетной палатой не установлено замечаний значительно увеличилась.</w:t>
      </w:r>
    </w:p>
    <w:p w14:paraId="28ADF3C5" w14:textId="77777777" w:rsidR="00B93B9C" w:rsidRDefault="00B93B9C" w:rsidP="00D25F1E">
      <w:pPr>
        <w:pStyle w:val="ad"/>
        <w:jc w:val="both"/>
        <w:rPr>
          <w:color w:val="FF0000"/>
          <w:szCs w:val="28"/>
          <w:highlight w:val="yellow"/>
        </w:rPr>
      </w:pPr>
    </w:p>
    <w:p w14:paraId="346D8537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22CAC">
        <w:rPr>
          <w:rFonts w:ascii="Times New Roman" w:hAnsi="Times New Roman" w:cs="Times New Roman"/>
          <w:sz w:val="28"/>
          <w:szCs w:val="28"/>
        </w:rPr>
        <w:t xml:space="preserve">  В 201</w:t>
      </w:r>
      <w:r w:rsidR="00B71012">
        <w:rPr>
          <w:rFonts w:ascii="Times New Roman" w:hAnsi="Times New Roman" w:cs="Times New Roman"/>
          <w:sz w:val="28"/>
          <w:szCs w:val="28"/>
        </w:rPr>
        <w:t>9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отмечается положительная тенденция сокращения количества нарушений по использованию бюджетных средств, упорядочению учета, улучшению качества планирования, повышению ответственности  главных администраторов доходов и расходов бюджетных средств, что следует отнести и на развитие системной и целенаправленной работы </w:t>
      </w:r>
      <w:r w:rsidR="00994D57">
        <w:rPr>
          <w:rFonts w:ascii="Times New Roman" w:hAnsi="Times New Roman" w:cs="Times New Roman"/>
          <w:sz w:val="28"/>
          <w:szCs w:val="28"/>
        </w:rPr>
        <w:t>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за отчетный период. По сложившейся практике в период проверок сотрудники Контрольно-счетной палаты оказывают содействие в проверяемых учреждениях в восстановлении и правильном ведении бухгалтерского учета,  устранении недостатков в исполнении смет расходов и приведении их в соответствие с требованиями действующего законодательства.  </w:t>
      </w:r>
    </w:p>
    <w:p w14:paraId="689C4EBE" w14:textId="7F2B4279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течении 201</w:t>
      </w:r>
      <w:r w:rsidR="00B71012">
        <w:rPr>
          <w:rFonts w:ascii="Times New Roman" w:hAnsi="Times New Roman" w:cs="Times New Roman"/>
          <w:sz w:val="28"/>
          <w:szCs w:val="28"/>
        </w:rPr>
        <w:t>9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года сотрудниками Контрольно-счетной палаты готовилась информация по проведенным проверкам в межсессионный период и материалы проверок трижды </w:t>
      </w:r>
      <w:bookmarkStart w:id="0" w:name="_GoBack"/>
      <w:bookmarkEnd w:id="0"/>
      <w:r w:rsidR="00E870AB" w:rsidRPr="00222CAC">
        <w:rPr>
          <w:rFonts w:ascii="Times New Roman" w:hAnsi="Times New Roman" w:cs="Times New Roman"/>
          <w:sz w:val="28"/>
          <w:szCs w:val="28"/>
        </w:rPr>
        <w:t>обсуждались на</w:t>
      </w:r>
      <w:r w:rsidRPr="00222CAC">
        <w:rPr>
          <w:rFonts w:ascii="Times New Roman" w:hAnsi="Times New Roman" w:cs="Times New Roman"/>
          <w:sz w:val="28"/>
          <w:szCs w:val="28"/>
        </w:rPr>
        <w:t xml:space="preserve"> заседании комиссии </w:t>
      </w:r>
      <w:r w:rsidR="00994D57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r w:rsidRPr="00222CAC">
        <w:rPr>
          <w:rFonts w:ascii="Times New Roman" w:hAnsi="Times New Roman" w:cs="Times New Roman"/>
          <w:sz w:val="28"/>
          <w:szCs w:val="28"/>
        </w:rPr>
        <w:t>районного Совета депутатов по финансово-экономическим вопросам.</w:t>
      </w:r>
    </w:p>
    <w:p w14:paraId="4F85BEF7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 Важным элементом в реализации контрольных функций Контрольно-счетной палаты района является обеспечение гласности в деятельности контрольного органа.  Материалы по проведенным проверкам Контрольно-счетная палата направляет по запросам в прокуратуру,  а ежегодный отчет о работе КСП печатается в средствах массовой информации. По результатам вс</w:t>
      </w:r>
      <w:r w:rsidR="00222CAC" w:rsidRPr="00222CAC">
        <w:rPr>
          <w:rFonts w:ascii="Times New Roman" w:hAnsi="Times New Roman" w:cs="Times New Roman"/>
          <w:sz w:val="28"/>
          <w:szCs w:val="28"/>
        </w:rPr>
        <w:t>ех контрольных мероприятий 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22CAC" w:rsidRPr="00222CAC">
        <w:rPr>
          <w:rFonts w:ascii="Times New Roman" w:hAnsi="Times New Roman" w:cs="Times New Roman"/>
          <w:sz w:val="28"/>
          <w:szCs w:val="28"/>
        </w:rPr>
        <w:t>яет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="00A7447B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222CAC">
        <w:rPr>
          <w:rFonts w:ascii="Times New Roman" w:hAnsi="Times New Roman" w:cs="Times New Roman"/>
          <w:sz w:val="28"/>
          <w:szCs w:val="28"/>
        </w:rPr>
        <w:t xml:space="preserve">отчет в Счетную палату Красноярского края, в 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представительство Союза муниципальных контрольно-счетных органов в Сибирском федеральном округе </w:t>
      </w:r>
      <w:r w:rsidRPr="00222CAC">
        <w:rPr>
          <w:rFonts w:ascii="Times New Roman" w:hAnsi="Times New Roman" w:cs="Times New Roman"/>
          <w:sz w:val="28"/>
          <w:szCs w:val="28"/>
        </w:rPr>
        <w:t>г. Новосибирск</w:t>
      </w:r>
      <w:r w:rsidR="00222CAC" w:rsidRPr="00222CAC">
        <w:rPr>
          <w:rFonts w:ascii="Times New Roman" w:hAnsi="Times New Roman" w:cs="Times New Roman"/>
          <w:sz w:val="28"/>
          <w:szCs w:val="28"/>
        </w:rPr>
        <w:t>.</w:t>
      </w:r>
      <w:r w:rsidRPr="00222CAC">
        <w:rPr>
          <w:rFonts w:ascii="Times New Roman" w:hAnsi="Times New Roman" w:cs="Times New Roman"/>
          <w:sz w:val="28"/>
          <w:szCs w:val="28"/>
        </w:rPr>
        <w:t xml:space="preserve">  </w:t>
      </w:r>
      <w:r w:rsidRPr="00222CAC">
        <w:rPr>
          <w:rFonts w:ascii="Times New Roman" w:hAnsi="Times New Roman" w:cs="Times New Roman"/>
          <w:sz w:val="28"/>
          <w:szCs w:val="28"/>
        </w:rPr>
        <w:tab/>
      </w:r>
    </w:p>
    <w:p w14:paraId="58FBF1CE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КСП стремилась в отчетном году свою деятельность рассматривать, как эффективный инструмент повышения в муниципальном районе финансово-бюджетной дисциплины. Экспертно-аналитическая работа проводилась во взаимосвязи с результатами контрольных мероприятий. При анализе результатов 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проверок особое внимание уделялось недостаткам и проблемам, а также  поиску путей их исключения.  </w:t>
      </w:r>
    </w:p>
    <w:p w14:paraId="54785123" w14:textId="77777777" w:rsidR="00D25F1E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="005815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>Контрольно-счетн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5E9" w:rsidRPr="002151D9">
        <w:rPr>
          <w:rFonts w:ascii="Times New Roman" w:hAnsi="Times New Roman" w:cs="Times New Roman"/>
          <w:color w:val="000000"/>
          <w:sz w:val="28"/>
          <w:szCs w:val="28"/>
        </w:rPr>
        <w:t>палата</w:t>
      </w:r>
      <w:r w:rsidRPr="002151D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членом Союза муниципальных контрольно-счетных органов  России.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В целях повышения эффективности системы государственного и муниципального финансового контроля в декабре 2011 года решением общего собрания контрольно-счетных органов Красноярского края создан Совет контрольно-счетных органов края, в который входит Контрольно-счетная палата Эвенкийского муниципального района. Счетная палата Красноярского края оказывает нам информационную и методологическую помощь, переподготовку и повышение квалификации работников. КСП сотрудничает и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14:paraId="26CD9BBC" w14:textId="77777777" w:rsidR="00162B3D" w:rsidRDefault="00B71012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Контрольно-счетной палаты включен в состав рабочей группы по противодействию коррупции, созданной при прокуратуре Эвенкийского муниципального района. </w:t>
      </w:r>
    </w:p>
    <w:p w14:paraId="38DC43FA" w14:textId="77777777" w:rsidR="00F151B2" w:rsidRDefault="00F151B2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Численность Контрольно-счетной палаты составляет 9 сотрудников, из них</w:t>
      </w:r>
      <w:r w:rsidR="00994D5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сотрудника находятся в с. Байкит и 2 сотрудника в с. Ванавара.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является одним из главных элементов, способных повлиять на эффективность деятельности КСП, выполнение задач и функций, возложенных на нее законодательством.  Все сотрудники КСП имеют высшее образование, из них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>– два высших образования. В 201</w:t>
      </w:r>
      <w:r w:rsidR="008134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КСП прош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 повышения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</w:t>
      </w:r>
      <w:r w:rsidR="002151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25F1E"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528AF00" w14:textId="77777777" w:rsidR="00F151B2" w:rsidRPr="00323C8E" w:rsidRDefault="0081340B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положений Федеральных законов от 02.03.2007 № 25-ФЗ «О муниципальной службе в Российской Федерации», от 25.12.2008 № 273-ФЗ «О противодействии коррупции» информация о доходах, об имуществе и обязательствах имущественного характера муниципальных служащих, а также их супругов и несовершеннолетних детей в установленный срок размещались на официальном сайте Администрации Эвенкийского муниципального района </w:t>
      </w:r>
      <w:r w:rsidR="00195A4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A49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95A49" w:rsidRPr="00195A4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95A49" w:rsidRPr="00323C8E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evenkya</w:t>
      </w:r>
      <w:proofErr w:type="spellEnd"/>
      <w:r w:rsidR="00195A49" w:rsidRPr="00323C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95A49" w:rsidRPr="00323C8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95A49" w:rsidRPr="00323C8E">
        <w:rPr>
          <w:rFonts w:ascii="Times New Roman" w:hAnsi="Times New Roman" w:cs="Times New Roman"/>
          <w:color w:val="000000"/>
          <w:sz w:val="28"/>
          <w:szCs w:val="28"/>
        </w:rPr>
        <w:t xml:space="preserve"> , </w:t>
      </w:r>
      <w:r w:rsidR="00323C8E" w:rsidRPr="00323C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разделе органы власти – Эвенкийский районный Совет депутатов (так как Контрольно-счетная палата не является юридическим лицом, а </w:t>
      </w:r>
      <w:r w:rsidR="006A729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</w:t>
      </w:r>
      <w:r w:rsidR="006A7299">
        <w:rPr>
          <w:rFonts w:ascii="Times New Roman" w:hAnsi="Times New Roman" w:cs="Times New Roman"/>
          <w:color w:val="000000"/>
          <w:sz w:val="28"/>
          <w:szCs w:val="28"/>
        </w:rPr>
        <w:t>ным подразделением</w:t>
      </w:r>
      <w:r w:rsidR="00323C8E">
        <w:rPr>
          <w:rFonts w:ascii="Times New Roman" w:hAnsi="Times New Roman" w:cs="Times New Roman"/>
          <w:color w:val="000000"/>
          <w:sz w:val="28"/>
          <w:szCs w:val="28"/>
        </w:rPr>
        <w:t xml:space="preserve"> Эвенкийского районного Совета депутатов).</w:t>
      </w:r>
    </w:p>
    <w:p w14:paraId="34CE8365" w14:textId="77777777" w:rsidR="00D25F1E" w:rsidRDefault="00D25F1E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На содержание сотрудников Контрольно-счетной палаты ЭМР израсходовано в 201</w:t>
      </w:r>
      <w:r w:rsidR="00F151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F151B2">
        <w:rPr>
          <w:rFonts w:ascii="Times New Roman" w:hAnsi="Times New Roman" w:cs="Times New Roman"/>
          <w:color w:val="000000"/>
          <w:sz w:val="28"/>
          <w:szCs w:val="28"/>
        </w:rPr>
        <w:t>9 932,7</w:t>
      </w:r>
      <w:r w:rsidR="00995E4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71937ED9" w14:textId="77777777" w:rsidR="00F151B2" w:rsidRPr="00222CAC" w:rsidRDefault="00F151B2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763DC6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между контрольно-счетными органами всех уровней позволяет комплексно решать поставленные задачи, выполнять полномочия, предусмотренные законодательством.       </w:t>
      </w:r>
    </w:p>
    <w:p w14:paraId="4D2CA0FB" w14:textId="77777777" w:rsidR="00162B3D" w:rsidRDefault="00D25F1E" w:rsidP="00820E3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КСП активно общаются и сотрудничают с коллегами из других регионов и муниципалитетов.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Такая совместная работа позволяет комплексно оценивать различные направления деятельности муниципалитета, </w:t>
      </w:r>
      <w:r w:rsidRPr="00222CAC">
        <w:rPr>
          <w:rFonts w:ascii="Times New Roman" w:eastAsia="Calibri" w:hAnsi="Times New Roman" w:cs="Times New Roman"/>
          <w:sz w:val="28"/>
          <w:szCs w:val="28"/>
        </w:rPr>
        <w:t xml:space="preserve">проводить более качественный анализ эффективности использования бюджетных средств.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Pr="00371778">
        <w:rPr>
          <w:rFonts w:ascii="Times New Roman" w:hAnsi="Times New Roman" w:cs="Times New Roman"/>
          <w:sz w:val="28"/>
          <w:szCs w:val="28"/>
        </w:rPr>
        <w:t xml:space="preserve">Методы работы контрольно-счетных органов становятся более унифицированными в связи с тем, что на федеральном и краевом уровне </w:t>
      </w:r>
      <w:r w:rsidRPr="00371778">
        <w:rPr>
          <w:rFonts w:ascii="Times New Roman" w:hAnsi="Times New Roman" w:cs="Times New Roman"/>
          <w:sz w:val="28"/>
          <w:szCs w:val="28"/>
        </w:rPr>
        <w:lastRenderedPageBreak/>
        <w:t>разрабатываются стандарты, на основе которых нами разработаны и утверждены на коллегии  стандарт</w:t>
      </w:r>
      <w:r w:rsidR="00371778" w:rsidRPr="00371778">
        <w:rPr>
          <w:rFonts w:ascii="Times New Roman" w:hAnsi="Times New Roman" w:cs="Times New Roman"/>
          <w:sz w:val="28"/>
          <w:szCs w:val="28"/>
        </w:rPr>
        <w:t>ы</w:t>
      </w:r>
      <w:r w:rsidRPr="00371778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  <w:r w:rsidR="00CC4423" w:rsidRPr="00C872CA">
        <w:rPr>
          <w:rFonts w:ascii="Times New Roman" w:hAnsi="Times New Roman" w:cs="Times New Roman"/>
          <w:sz w:val="28"/>
          <w:szCs w:val="28"/>
        </w:rPr>
        <w:tab/>
      </w: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8A509" w14:textId="77777777" w:rsidR="00323C8E" w:rsidRDefault="00323C8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палатой Российской Федерации поставлены новые задачи перед органами финансового контроля – переход к проведению стратегического аудита приоритетных национальных проектов на всех уровнях власти. </w:t>
      </w:r>
    </w:p>
    <w:p w14:paraId="66501AAA" w14:textId="77777777" w:rsidR="00323C8E" w:rsidRDefault="00323C8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аудит применяется в целях оценки реализуемости, рисков и последствий, результатов достижения стратегических целей обеспечения безопасности и социально-экономического развития.</w:t>
      </w:r>
    </w:p>
    <w:p w14:paraId="2A1BE824" w14:textId="77777777" w:rsidR="00293966" w:rsidRDefault="00293966" w:rsidP="00994D5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аудит включает в себя:</w:t>
      </w:r>
      <w:r w:rsidR="0099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 прио</w:t>
      </w:r>
      <w:r w:rsidR="00994D57">
        <w:rPr>
          <w:rFonts w:ascii="Times New Roman" w:hAnsi="Times New Roman" w:cs="Times New Roman"/>
          <w:sz w:val="28"/>
          <w:szCs w:val="28"/>
        </w:rPr>
        <w:t>ритетных национальных проектов;</w:t>
      </w:r>
      <w:r>
        <w:rPr>
          <w:rFonts w:ascii="Times New Roman" w:hAnsi="Times New Roman" w:cs="Times New Roman"/>
          <w:sz w:val="28"/>
          <w:szCs w:val="28"/>
        </w:rPr>
        <w:t xml:space="preserve"> аудит эффективности; аудит закупок; финансовый аудит;</w:t>
      </w:r>
      <w:r w:rsidR="0099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управленческий аудит.</w:t>
      </w:r>
    </w:p>
    <w:p w14:paraId="0BA574A3" w14:textId="77777777" w:rsidR="00293966" w:rsidRDefault="00293966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полномочиями значимыми направлениями деятельности Контрольно-счетной палаты продолжают оставаться:</w:t>
      </w:r>
    </w:p>
    <w:p w14:paraId="65785699" w14:textId="77777777" w:rsidR="00293966" w:rsidRDefault="00293966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доходной части бюджета </w:t>
      </w:r>
      <w:r w:rsidR="006A7299">
        <w:rPr>
          <w:rFonts w:ascii="Times New Roman" w:hAnsi="Times New Roman" w:cs="Times New Roman"/>
          <w:sz w:val="28"/>
          <w:szCs w:val="28"/>
        </w:rPr>
        <w:t>района, включая анализ социально-экономического развития, исполнение бюджетных полномочий главными администраторами доходов бюджета района, оценка эффективности реализации муниципальных программ их заказчиками и исполнителями;</w:t>
      </w:r>
    </w:p>
    <w:p w14:paraId="549F0D10" w14:textId="77777777" w:rsidR="006A7299" w:rsidRDefault="006A7299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 эффективности реализации муниципальных программ, оценка их результативности, достижения заявленных целей, в том числе их целевых индикаторов и показателей.</w:t>
      </w:r>
    </w:p>
    <w:p w14:paraId="74C504B6" w14:textId="77777777" w:rsidR="006A7299" w:rsidRDefault="006A7299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обеспечению полноты и повышению качества исполнения законодательно установленных полномочий органов внешнего муниципального финансового контроля с учетом основных направлений, определенных Стратегией развития Счетной палаты Российской Федерации, будет продолжена.</w:t>
      </w:r>
    </w:p>
    <w:p w14:paraId="4552BB85" w14:textId="77777777" w:rsidR="006A7299" w:rsidRDefault="006A7299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7299" w:rsidSect="00996443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8530F" w14:textId="77777777" w:rsidR="00DB56F3" w:rsidRDefault="00DB56F3">
      <w:pPr>
        <w:spacing w:after="0" w:line="240" w:lineRule="auto"/>
      </w:pPr>
      <w:r>
        <w:separator/>
      </w:r>
    </w:p>
  </w:endnote>
  <w:endnote w:type="continuationSeparator" w:id="0">
    <w:p w14:paraId="7D43AC1E" w14:textId="77777777" w:rsidR="00DB56F3" w:rsidRDefault="00D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C606" w14:textId="77777777" w:rsidR="00D83C3F" w:rsidRDefault="00D83C3F">
    <w:pPr>
      <w:pStyle w:val="a5"/>
      <w:jc w:val="right"/>
    </w:pPr>
  </w:p>
  <w:p w14:paraId="7F24A566" w14:textId="77777777" w:rsidR="00D83C3F" w:rsidRDefault="00D83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C5C56" w14:textId="77777777" w:rsidR="00DB56F3" w:rsidRDefault="00DB56F3">
      <w:pPr>
        <w:spacing w:after="0" w:line="240" w:lineRule="auto"/>
      </w:pPr>
      <w:r>
        <w:separator/>
      </w:r>
    </w:p>
  </w:footnote>
  <w:footnote w:type="continuationSeparator" w:id="0">
    <w:p w14:paraId="4E87B0CA" w14:textId="77777777" w:rsidR="00DB56F3" w:rsidRDefault="00DB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2570" w14:textId="77777777" w:rsidR="00D83C3F" w:rsidRDefault="00D83C3F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66E7C0B"/>
    <w:multiLevelType w:val="hybridMultilevel"/>
    <w:tmpl w:val="627CBDA0"/>
    <w:lvl w:ilvl="0" w:tplc="5764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C"/>
    <w:rsid w:val="00007C01"/>
    <w:rsid w:val="0001037F"/>
    <w:rsid w:val="000108C8"/>
    <w:rsid w:val="00016471"/>
    <w:rsid w:val="00021E6E"/>
    <w:rsid w:val="00052DAE"/>
    <w:rsid w:val="0005795A"/>
    <w:rsid w:val="00057AA7"/>
    <w:rsid w:val="00062564"/>
    <w:rsid w:val="00066C35"/>
    <w:rsid w:val="00075408"/>
    <w:rsid w:val="00076320"/>
    <w:rsid w:val="00076BA1"/>
    <w:rsid w:val="00076F96"/>
    <w:rsid w:val="00090A64"/>
    <w:rsid w:val="00091258"/>
    <w:rsid w:val="00094002"/>
    <w:rsid w:val="0009465C"/>
    <w:rsid w:val="00095B53"/>
    <w:rsid w:val="000A30FB"/>
    <w:rsid w:val="000A7E28"/>
    <w:rsid w:val="000C4522"/>
    <w:rsid w:val="000C6936"/>
    <w:rsid w:val="000C6C9F"/>
    <w:rsid w:val="000D1805"/>
    <w:rsid w:val="000E2949"/>
    <w:rsid w:val="000E29B6"/>
    <w:rsid w:val="000E484A"/>
    <w:rsid w:val="000F3F67"/>
    <w:rsid w:val="00103200"/>
    <w:rsid w:val="00105E99"/>
    <w:rsid w:val="00113920"/>
    <w:rsid w:val="00113FDD"/>
    <w:rsid w:val="00120EA2"/>
    <w:rsid w:val="00125965"/>
    <w:rsid w:val="00130E66"/>
    <w:rsid w:val="001334B7"/>
    <w:rsid w:val="00140C7D"/>
    <w:rsid w:val="00146A3F"/>
    <w:rsid w:val="00162B3D"/>
    <w:rsid w:val="00181B9E"/>
    <w:rsid w:val="00185F88"/>
    <w:rsid w:val="001915DA"/>
    <w:rsid w:val="00195A49"/>
    <w:rsid w:val="001A4C8B"/>
    <w:rsid w:val="001A59EC"/>
    <w:rsid w:val="001C175F"/>
    <w:rsid w:val="001C4C1D"/>
    <w:rsid w:val="001C591B"/>
    <w:rsid w:val="001D1AFA"/>
    <w:rsid w:val="001D2324"/>
    <w:rsid w:val="001D2762"/>
    <w:rsid w:val="001E5725"/>
    <w:rsid w:val="001E79DD"/>
    <w:rsid w:val="001F0C69"/>
    <w:rsid w:val="001F2C9D"/>
    <w:rsid w:val="00201CF3"/>
    <w:rsid w:val="00202F14"/>
    <w:rsid w:val="0020648B"/>
    <w:rsid w:val="002151D9"/>
    <w:rsid w:val="00222CAC"/>
    <w:rsid w:val="00223817"/>
    <w:rsid w:val="0022617B"/>
    <w:rsid w:val="00232E41"/>
    <w:rsid w:val="00243D76"/>
    <w:rsid w:val="0024682A"/>
    <w:rsid w:val="00252D3D"/>
    <w:rsid w:val="00254D7E"/>
    <w:rsid w:val="00274329"/>
    <w:rsid w:val="002763C7"/>
    <w:rsid w:val="00281CC5"/>
    <w:rsid w:val="00285E9F"/>
    <w:rsid w:val="002905F3"/>
    <w:rsid w:val="00291DE7"/>
    <w:rsid w:val="00293966"/>
    <w:rsid w:val="00297776"/>
    <w:rsid w:val="002A053C"/>
    <w:rsid w:val="002A2EC5"/>
    <w:rsid w:val="002B2BD1"/>
    <w:rsid w:val="002B3E9C"/>
    <w:rsid w:val="002B63E4"/>
    <w:rsid w:val="002C1734"/>
    <w:rsid w:val="002C4E06"/>
    <w:rsid w:val="002E3E96"/>
    <w:rsid w:val="002F4F4B"/>
    <w:rsid w:val="0030385F"/>
    <w:rsid w:val="003062E7"/>
    <w:rsid w:val="00317AD5"/>
    <w:rsid w:val="00317B20"/>
    <w:rsid w:val="00323C8E"/>
    <w:rsid w:val="003241DA"/>
    <w:rsid w:val="00340A6F"/>
    <w:rsid w:val="003413E2"/>
    <w:rsid w:val="00360EFC"/>
    <w:rsid w:val="00367C9C"/>
    <w:rsid w:val="00371778"/>
    <w:rsid w:val="00372A7C"/>
    <w:rsid w:val="00381F07"/>
    <w:rsid w:val="003875F2"/>
    <w:rsid w:val="00394139"/>
    <w:rsid w:val="003A373B"/>
    <w:rsid w:val="003B3833"/>
    <w:rsid w:val="003B560D"/>
    <w:rsid w:val="003B6718"/>
    <w:rsid w:val="003C55CD"/>
    <w:rsid w:val="003D46B3"/>
    <w:rsid w:val="003D4AEB"/>
    <w:rsid w:val="003E3127"/>
    <w:rsid w:val="003E51C8"/>
    <w:rsid w:val="003E649D"/>
    <w:rsid w:val="003F2B09"/>
    <w:rsid w:val="003F2D9B"/>
    <w:rsid w:val="003F7A70"/>
    <w:rsid w:val="0041393B"/>
    <w:rsid w:val="00422264"/>
    <w:rsid w:val="00430A00"/>
    <w:rsid w:val="00434307"/>
    <w:rsid w:val="00440103"/>
    <w:rsid w:val="004436C0"/>
    <w:rsid w:val="00453176"/>
    <w:rsid w:val="00480A83"/>
    <w:rsid w:val="004914A9"/>
    <w:rsid w:val="004A10DD"/>
    <w:rsid w:val="004A3E26"/>
    <w:rsid w:val="004A49CA"/>
    <w:rsid w:val="004B4D97"/>
    <w:rsid w:val="004C37A9"/>
    <w:rsid w:val="004C473E"/>
    <w:rsid w:val="004C5D2C"/>
    <w:rsid w:val="004C60AB"/>
    <w:rsid w:val="004D52FB"/>
    <w:rsid w:val="004E21B3"/>
    <w:rsid w:val="004F211D"/>
    <w:rsid w:val="00500F72"/>
    <w:rsid w:val="005158E1"/>
    <w:rsid w:val="00522BF4"/>
    <w:rsid w:val="00530CAC"/>
    <w:rsid w:val="005324EB"/>
    <w:rsid w:val="00535296"/>
    <w:rsid w:val="00540A53"/>
    <w:rsid w:val="00544FA0"/>
    <w:rsid w:val="005455AC"/>
    <w:rsid w:val="0055133E"/>
    <w:rsid w:val="00555820"/>
    <w:rsid w:val="00562A91"/>
    <w:rsid w:val="00562FFC"/>
    <w:rsid w:val="00570E7E"/>
    <w:rsid w:val="00572742"/>
    <w:rsid w:val="005815E9"/>
    <w:rsid w:val="005A660F"/>
    <w:rsid w:val="005A6FE2"/>
    <w:rsid w:val="005B2467"/>
    <w:rsid w:val="005C0049"/>
    <w:rsid w:val="005C3115"/>
    <w:rsid w:val="005C4698"/>
    <w:rsid w:val="005D0F7B"/>
    <w:rsid w:val="005D2D58"/>
    <w:rsid w:val="005F3924"/>
    <w:rsid w:val="006046E1"/>
    <w:rsid w:val="0061363E"/>
    <w:rsid w:val="0063094E"/>
    <w:rsid w:val="00640E3A"/>
    <w:rsid w:val="00646158"/>
    <w:rsid w:val="0065166E"/>
    <w:rsid w:val="00652ACC"/>
    <w:rsid w:val="00661D20"/>
    <w:rsid w:val="006653E4"/>
    <w:rsid w:val="00666F29"/>
    <w:rsid w:val="00684F42"/>
    <w:rsid w:val="006A7299"/>
    <w:rsid w:val="006A7E66"/>
    <w:rsid w:val="006B1954"/>
    <w:rsid w:val="006B2B00"/>
    <w:rsid w:val="006D466A"/>
    <w:rsid w:val="006D5625"/>
    <w:rsid w:val="006E18AD"/>
    <w:rsid w:val="006E61BA"/>
    <w:rsid w:val="006E683E"/>
    <w:rsid w:val="006E7391"/>
    <w:rsid w:val="006F1702"/>
    <w:rsid w:val="006F3BE3"/>
    <w:rsid w:val="006F7207"/>
    <w:rsid w:val="00703A9B"/>
    <w:rsid w:val="0070636F"/>
    <w:rsid w:val="00713DB4"/>
    <w:rsid w:val="00716442"/>
    <w:rsid w:val="007209C3"/>
    <w:rsid w:val="00743B22"/>
    <w:rsid w:val="00745D7A"/>
    <w:rsid w:val="00745E97"/>
    <w:rsid w:val="00746CF2"/>
    <w:rsid w:val="00762EEF"/>
    <w:rsid w:val="007660AD"/>
    <w:rsid w:val="007849F9"/>
    <w:rsid w:val="007857B4"/>
    <w:rsid w:val="00785D66"/>
    <w:rsid w:val="00792283"/>
    <w:rsid w:val="0079323D"/>
    <w:rsid w:val="007958C2"/>
    <w:rsid w:val="007A00DC"/>
    <w:rsid w:val="007A7E2E"/>
    <w:rsid w:val="007B14EB"/>
    <w:rsid w:val="007B426E"/>
    <w:rsid w:val="007B519E"/>
    <w:rsid w:val="007B5B14"/>
    <w:rsid w:val="007B6178"/>
    <w:rsid w:val="007C01EA"/>
    <w:rsid w:val="007C3A27"/>
    <w:rsid w:val="007E3020"/>
    <w:rsid w:val="007E4128"/>
    <w:rsid w:val="007E7434"/>
    <w:rsid w:val="007F45EC"/>
    <w:rsid w:val="007F6845"/>
    <w:rsid w:val="008007A4"/>
    <w:rsid w:val="008024C0"/>
    <w:rsid w:val="00802A84"/>
    <w:rsid w:val="00805F72"/>
    <w:rsid w:val="0081340B"/>
    <w:rsid w:val="00820E31"/>
    <w:rsid w:val="0083723C"/>
    <w:rsid w:val="00846BEB"/>
    <w:rsid w:val="008504F5"/>
    <w:rsid w:val="0085783A"/>
    <w:rsid w:val="00870E5B"/>
    <w:rsid w:val="008757ED"/>
    <w:rsid w:val="00883C5E"/>
    <w:rsid w:val="0089729E"/>
    <w:rsid w:val="008A7483"/>
    <w:rsid w:val="008D4B35"/>
    <w:rsid w:val="008E5025"/>
    <w:rsid w:val="008F269F"/>
    <w:rsid w:val="008F50B8"/>
    <w:rsid w:val="008F5750"/>
    <w:rsid w:val="00913A15"/>
    <w:rsid w:val="00925E3D"/>
    <w:rsid w:val="009276AF"/>
    <w:rsid w:val="0093673E"/>
    <w:rsid w:val="00937268"/>
    <w:rsid w:val="009543D7"/>
    <w:rsid w:val="00963FCA"/>
    <w:rsid w:val="0097756F"/>
    <w:rsid w:val="00987743"/>
    <w:rsid w:val="00992D42"/>
    <w:rsid w:val="00994D57"/>
    <w:rsid w:val="00995E45"/>
    <w:rsid w:val="00996443"/>
    <w:rsid w:val="009A01B0"/>
    <w:rsid w:val="009A1985"/>
    <w:rsid w:val="009A1D02"/>
    <w:rsid w:val="009A372B"/>
    <w:rsid w:val="009B2DF3"/>
    <w:rsid w:val="009C559A"/>
    <w:rsid w:val="009D27E9"/>
    <w:rsid w:val="009E222E"/>
    <w:rsid w:val="009F4D35"/>
    <w:rsid w:val="00A27C4F"/>
    <w:rsid w:val="00A305AA"/>
    <w:rsid w:val="00A31DFF"/>
    <w:rsid w:val="00A42010"/>
    <w:rsid w:val="00A473DA"/>
    <w:rsid w:val="00A524EB"/>
    <w:rsid w:val="00A73B19"/>
    <w:rsid w:val="00A7447B"/>
    <w:rsid w:val="00A75427"/>
    <w:rsid w:val="00A77760"/>
    <w:rsid w:val="00A908D9"/>
    <w:rsid w:val="00A92730"/>
    <w:rsid w:val="00A94604"/>
    <w:rsid w:val="00A9659F"/>
    <w:rsid w:val="00AA5E81"/>
    <w:rsid w:val="00AA6A63"/>
    <w:rsid w:val="00AB3A45"/>
    <w:rsid w:val="00AD43D2"/>
    <w:rsid w:val="00AD5949"/>
    <w:rsid w:val="00AE398A"/>
    <w:rsid w:val="00AE494C"/>
    <w:rsid w:val="00AF5671"/>
    <w:rsid w:val="00AF66E3"/>
    <w:rsid w:val="00B01BD9"/>
    <w:rsid w:val="00B2707C"/>
    <w:rsid w:val="00B3712C"/>
    <w:rsid w:val="00B41188"/>
    <w:rsid w:val="00B46AA8"/>
    <w:rsid w:val="00B538F7"/>
    <w:rsid w:val="00B70106"/>
    <w:rsid w:val="00B71012"/>
    <w:rsid w:val="00B71B5A"/>
    <w:rsid w:val="00B93B9C"/>
    <w:rsid w:val="00BA1044"/>
    <w:rsid w:val="00BA1620"/>
    <w:rsid w:val="00BA2CBD"/>
    <w:rsid w:val="00BB702A"/>
    <w:rsid w:val="00BC36F7"/>
    <w:rsid w:val="00BC5174"/>
    <w:rsid w:val="00BD1B5D"/>
    <w:rsid w:val="00BD283B"/>
    <w:rsid w:val="00BD7BA8"/>
    <w:rsid w:val="00BE3CF8"/>
    <w:rsid w:val="00BF33C7"/>
    <w:rsid w:val="00BF6B16"/>
    <w:rsid w:val="00C053C8"/>
    <w:rsid w:val="00C15028"/>
    <w:rsid w:val="00C22BDF"/>
    <w:rsid w:val="00C275C7"/>
    <w:rsid w:val="00C27CDE"/>
    <w:rsid w:val="00C33580"/>
    <w:rsid w:val="00C36B38"/>
    <w:rsid w:val="00C609EB"/>
    <w:rsid w:val="00C62CE7"/>
    <w:rsid w:val="00C709FB"/>
    <w:rsid w:val="00C756BB"/>
    <w:rsid w:val="00C80A9F"/>
    <w:rsid w:val="00C8292A"/>
    <w:rsid w:val="00C872CA"/>
    <w:rsid w:val="00C916CE"/>
    <w:rsid w:val="00CA26B4"/>
    <w:rsid w:val="00CA2D17"/>
    <w:rsid w:val="00CA47DE"/>
    <w:rsid w:val="00CB4BC6"/>
    <w:rsid w:val="00CC0955"/>
    <w:rsid w:val="00CC4423"/>
    <w:rsid w:val="00CC61E7"/>
    <w:rsid w:val="00CF6CD2"/>
    <w:rsid w:val="00D01506"/>
    <w:rsid w:val="00D12D7F"/>
    <w:rsid w:val="00D20D28"/>
    <w:rsid w:val="00D25F1E"/>
    <w:rsid w:val="00D43437"/>
    <w:rsid w:val="00D4394F"/>
    <w:rsid w:val="00D44E37"/>
    <w:rsid w:val="00D50D66"/>
    <w:rsid w:val="00D573B4"/>
    <w:rsid w:val="00D57ECC"/>
    <w:rsid w:val="00D63572"/>
    <w:rsid w:val="00D73737"/>
    <w:rsid w:val="00D83C3F"/>
    <w:rsid w:val="00D84C1A"/>
    <w:rsid w:val="00D92B2B"/>
    <w:rsid w:val="00D97995"/>
    <w:rsid w:val="00DA145E"/>
    <w:rsid w:val="00DA2F5F"/>
    <w:rsid w:val="00DB56F3"/>
    <w:rsid w:val="00DB67A0"/>
    <w:rsid w:val="00DC69E4"/>
    <w:rsid w:val="00DE1E13"/>
    <w:rsid w:val="00DE28ED"/>
    <w:rsid w:val="00DE2922"/>
    <w:rsid w:val="00DE6F94"/>
    <w:rsid w:val="00DE7094"/>
    <w:rsid w:val="00DF691D"/>
    <w:rsid w:val="00E033C9"/>
    <w:rsid w:val="00E03423"/>
    <w:rsid w:val="00E0682A"/>
    <w:rsid w:val="00E105E4"/>
    <w:rsid w:val="00E15DFB"/>
    <w:rsid w:val="00E20D5E"/>
    <w:rsid w:val="00E22A64"/>
    <w:rsid w:val="00E25A7A"/>
    <w:rsid w:val="00E43D2B"/>
    <w:rsid w:val="00E50424"/>
    <w:rsid w:val="00E602BD"/>
    <w:rsid w:val="00E67CA4"/>
    <w:rsid w:val="00E83930"/>
    <w:rsid w:val="00E8676A"/>
    <w:rsid w:val="00E870AB"/>
    <w:rsid w:val="00E973F2"/>
    <w:rsid w:val="00E97D10"/>
    <w:rsid w:val="00EA597F"/>
    <w:rsid w:val="00EB29C6"/>
    <w:rsid w:val="00EB33DA"/>
    <w:rsid w:val="00EB7551"/>
    <w:rsid w:val="00EE3A1B"/>
    <w:rsid w:val="00EF1B16"/>
    <w:rsid w:val="00EF6178"/>
    <w:rsid w:val="00F01032"/>
    <w:rsid w:val="00F0262D"/>
    <w:rsid w:val="00F0435A"/>
    <w:rsid w:val="00F1072D"/>
    <w:rsid w:val="00F11C9A"/>
    <w:rsid w:val="00F13C04"/>
    <w:rsid w:val="00F14F2F"/>
    <w:rsid w:val="00F151B2"/>
    <w:rsid w:val="00F15A11"/>
    <w:rsid w:val="00F16E4D"/>
    <w:rsid w:val="00F269FF"/>
    <w:rsid w:val="00F328D7"/>
    <w:rsid w:val="00F34803"/>
    <w:rsid w:val="00F36B80"/>
    <w:rsid w:val="00F434D2"/>
    <w:rsid w:val="00F51C68"/>
    <w:rsid w:val="00F52886"/>
    <w:rsid w:val="00F63A6A"/>
    <w:rsid w:val="00F87797"/>
    <w:rsid w:val="00F90C8F"/>
    <w:rsid w:val="00FA5523"/>
    <w:rsid w:val="00FA6834"/>
    <w:rsid w:val="00FC1228"/>
    <w:rsid w:val="00FC21D7"/>
    <w:rsid w:val="00FC2B47"/>
    <w:rsid w:val="00FC4F64"/>
    <w:rsid w:val="00FE1080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700E3C"/>
  <w15:docId w15:val="{672AC207-3273-49EA-98DF-62A9F794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99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CAD6-8BA6-406F-89A2-02DD3AC6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3</cp:revision>
  <cp:lastPrinted>2020-03-23T10:07:00Z</cp:lastPrinted>
  <dcterms:created xsi:type="dcterms:W3CDTF">2023-06-19T15:15:00Z</dcterms:created>
  <dcterms:modified xsi:type="dcterms:W3CDTF">2023-06-19T15:17:00Z</dcterms:modified>
</cp:coreProperties>
</file>