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D1B33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14:paraId="6DA962B8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1413B">
        <w:rPr>
          <w:rFonts w:ascii="Times New Roman" w:eastAsia="Times New Roman" w:hAnsi="Times New Roman" w:cs="Times New Roman"/>
          <w:b/>
          <w:i/>
          <w:noProof/>
          <w:sz w:val="20"/>
          <w:szCs w:val="20"/>
          <w:lang w:eastAsia="ru-RU"/>
        </w:rPr>
        <w:drawing>
          <wp:inline distT="0" distB="0" distL="0" distR="0" wp14:anchorId="2743E7D8" wp14:editId="7322233B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3D1BF7" w14:textId="77777777" w:rsidR="0071413B" w:rsidRPr="0071413B" w:rsidRDefault="0071413B" w:rsidP="007141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1669498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1413B">
        <w:rPr>
          <w:rFonts w:ascii="Times New Roman" w:eastAsia="Times New Roman" w:hAnsi="Times New Roman" w:cs="Times New Roman"/>
          <w:sz w:val="36"/>
          <w:szCs w:val="36"/>
          <w:lang w:eastAsia="ru-RU"/>
        </w:rPr>
        <w:t>КОНТРОЛЬНО-СЧЕТНАЯ ПАЛАТА</w:t>
      </w:r>
    </w:p>
    <w:p w14:paraId="175F5819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1413B">
        <w:rPr>
          <w:rFonts w:ascii="Times New Roman" w:eastAsia="Times New Roman" w:hAnsi="Times New Roman" w:cs="Times New Roman"/>
          <w:sz w:val="36"/>
          <w:szCs w:val="36"/>
          <w:lang w:eastAsia="ru-RU"/>
        </w:rPr>
        <w:t>ЭВЕНКИЙСКОГО МУНИЦИПАЛЬНОГО РАЙОНА</w:t>
      </w:r>
    </w:p>
    <w:p w14:paraId="3FC3787F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13B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7FAE7F7F" wp14:editId="645E2F15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18561A3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Советская д. 2, п. Тура, Эвенкийский район, Красноярского края, 648000, тел.8-(39170)31-312,</w:t>
      </w:r>
    </w:p>
    <w:p w14:paraId="48F26991" w14:textId="7B5EDDC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ОКПО 89712992, ОГРН 1222400031150, ИНН/КПП 2470002345/247001001, </w:t>
      </w:r>
      <w:hyperlink r:id="rId8" w:history="1"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E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eastAsia="ru-RU"/>
          </w:rPr>
          <w:t>-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mail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eastAsia="ru-RU"/>
          </w:rPr>
          <w:t xml:space="preserve"> с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hulinaii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eastAsia="ru-RU"/>
          </w:rPr>
          <w:t>@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tura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eastAsia="ru-RU"/>
          </w:rPr>
          <w:t>.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evenkya</w:t>
        </w:r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eastAsia="ru-RU"/>
          </w:rPr>
          <w:t>.</w:t>
        </w:r>
        <w:proofErr w:type="spellStart"/>
        <w:r w:rsidR="00AE7634" w:rsidRPr="00353095">
          <w:rPr>
            <w:rStyle w:val="afb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ru</w:t>
        </w:r>
        <w:proofErr w:type="spellEnd"/>
      </w:hyperlink>
    </w:p>
    <w:p w14:paraId="16C8B9D1" w14:textId="77777777" w:rsidR="0071413B" w:rsidRPr="0071413B" w:rsidRDefault="0071413B" w:rsidP="007141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32"/>
          <w:szCs w:val="20"/>
          <w:lang w:eastAsia="ru-RU"/>
        </w:rPr>
      </w:pPr>
    </w:p>
    <w:p w14:paraId="2D8D4E1C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0FA5114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E053BFD" w14:textId="77777777" w:rsidR="0071413B" w:rsidRPr="0071413B" w:rsidRDefault="0071413B" w:rsidP="0071413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1413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УТВЕРЖДАЮ</w:t>
      </w:r>
    </w:p>
    <w:p w14:paraId="69DB3CF0" w14:textId="77777777" w:rsidR="0071413B" w:rsidRPr="0071413B" w:rsidRDefault="0071413B" w:rsidP="0071413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Председатель</w:t>
      </w:r>
    </w:p>
    <w:p w14:paraId="1ABDAFD6" w14:textId="77777777" w:rsidR="0071413B" w:rsidRPr="0071413B" w:rsidRDefault="00E35FBD" w:rsidP="0071413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Контрольно-с</w:t>
      </w:r>
      <w:r w:rsidR="0071413B"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четной палаты</w:t>
      </w:r>
    </w:p>
    <w:p w14:paraId="7A0F66C0" w14:textId="3750D444" w:rsidR="0071413B" w:rsidRDefault="0071413B" w:rsidP="0071413B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Эвенкийского муниципального района</w:t>
      </w:r>
    </w:p>
    <w:p w14:paraId="32EC0F25" w14:textId="77777777" w:rsidR="00AE7634" w:rsidRPr="0071413B" w:rsidRDefault="00AE7634" w:rsidP="0071413B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3BE5D4ED" w14:textId="4D3F96F0" w:rsidR="0071413B" w:rsidRPr="0071413B" w:rsidRDefault="0071413B" w:rsidP="0071413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/>
        </w:rPr>
        <w:t xml:space="preserve">             </w:t>
      </w:r>
      <w:r w:rsidR="00AE763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/>
        </w:rPr>
        <w:t xml:space="preserve">     </w:t>
      </w:r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/>
        </w:rPr>
        <w:t xml:space="preserve">          </w:t>
      </w:r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И.И. </w:t>
      </w:r>
      <w:proofErr w:type="spellStart"/>
      <w:r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Чулина</w:t>
      </w:r>
      <w:proofErr w:type="spellEnd"/>
    </w:p>
    <w:p w14:paraId="7B2667A1" w14:textId="1B8E650F" w:rsidR="0071413B" w:rsidRPr="0071413B" w:rsidRDefault="00AE7634" w:rsidP="00AE763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="0071413B"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27</w:t>
      </w:r>
      <w:r w:rsidR="0071413B" w:rsidRPr="007141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 апреля 2023 года</w:t>
      </w:r>
    </w:p>
    <w:p w14:paraId="0B627C09" w14:textId="77777777" w:rsidR="0071413B" w:rsidRPr="0071413B" w:rsidRDefault="0071413B" w:rsidP="0071413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C3D1226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EE3471" w14:textId="77777777" w:rsidR="0071413B" w:rsidRPr="00AE7634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65E9776" w14:textId="77777777" w:rsidR="0071413B" w:rsidRPr="00AE7634" w:rsidRDefault="0071413B" w:rsidP="007141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</w:pPr>
      <w:r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по результатам</w:t>
      </w:r>
      <w:r w:rsidRPr="00AE7634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  <w:lang w:eastAsia="ru-RU"/>
        </w:rPr>
        <w:t xml:space="preserve"> </w:t>
      </w:r>
      <w:r w:rsidRPr="00AE76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внешней проверки </w:t>
      </w:r>
      <w:r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годового отчета</w:t>
      </w:r>
    </w:p>
    <w:p w14:paraId="15E55D7D" w14:textId="77777777" w:rsidR="0071413B" w:rsidRPr="00AE7634" w:rsidRDefault="0071413B" w:rsidP="0071413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</w:pPr>
      <w:r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об исполнении бю</w:t>
      </w:r>
      <w:r w:rsidR="004D78BE"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джета поселка </w:t>
      </w:r>
      <w:proofErr w:type="spellStart"/>
      <w:r w:rsidR="004D78BE"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Чемдальск</w:t>
      </w:r>
      <w:proofErr w:type="spellEnd"/>
      <w:r w:rsidRPr="00AE76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за 2022 год</w:t>
      </w:r>
    </w:p>
    <w:p w14:paraId="1B40532A" w14:textId="77777777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DC32211" w14:textId="717ECCCE" w:rsidR="0071413B" w:rsidRPr="0071413B" w:rsidRDefault="0071413B" w:rsidP="0071413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41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(утверждено решением коллегии Контрольно-</w:t>
      </w:r>
      <w:r w:rsidR="000C6790" w:rsidRPr="000C67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7141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четной палаты от </w:t>
      </w:r>
      <w:r w:rsidR="00AE76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27</w:t>
      </w:r>
      <w:r w:rsidRPr="007141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.04.2023 № </w:t>
      </w:r>
      <w:r w:rsidR="00AE76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42</w:t>
      </w:r>
      <w:r w:rsidRPr="007141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11FE954F" w14:textId="77777777" w:rsidR="0071413B" w:rsidRPr="0071413B" w:rsidRDefault="0071413B" w:rsidP="007141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B2B4D7" w14:textId="5852DB95" w:rsidR="0071413B" w:rsidRPr="0071413B" w:rsidRDefault="001A1C80" w:rsidP="0071413B">
      <w:pPr>
        <w:tabs>
          <w:tab w:val="left" w:pos="4536"/>
          <w:tab w:val="left" w:pos="893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AE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01-13/</w:t>
      </w:r>
      <w:r w:rsidR="009148EC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AE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E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27 </w:t>
      </w:r>
      <w:r w:rsidRPr="00714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апреля 2023 года </w:t>
      </w:r>
      <w:r w:rsidR="0071413B" w:rsidRPr="00714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8D07E56" w14:textId="77777777" w:rsidR="0071413B" w:rsidRPr="0071413B" w:rsidRDefault="0071413B" w:rsidP="00714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8B882D" w14:textId="77777777" w:rsidR="0071413B" w:rsidRPr="00203637" w:rsidRDefault="0071413B" w:rsidP="007141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проверка годового отчета об исполнении бюджета муниципального </w:t>
      </w:r>
      <w:r w:rsidR="009170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поселка </w:t>
      </w:r>
      <w:proofErr w:type="spellStart"/>
      <w:r w:rsidR="009170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Отчет об исполнении бюджета  поселка </w:t>
      </w:r>
      <w:proofErr w:type="spellStart"/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год)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осуществлена на основании ст. 264.4, 268.1 Бюджетного кодекса Российской Федерации, обращения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Схода граждан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внешней проверки отчета об исполнении 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</w:t>
      </w:r>
      <w:r w:rsidR="0064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0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20.03.2023 № 21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7030" w:rsidRPr="00203637">
        <w:rPr>
          <w:rFonts w:ascii="Times New Roman" w:eastAsia="Calibri" w:hAnsi="Times New Roman" w:cs="Times New Roman"/>
          <w:sz w:val="28"/>
          <w:szCs w:val="28"/>
        </w:rPr>
        <w:t>пункта 2.23</w:t>
      </w:r>
      <w:r w:rsidRPr="00203637">
        <w:rPr>
          <w:rFonts w:ascii="Times New Roman" w:eastAsia="Calibri" w:hAnsi="Times New Roman" w:cs="Times New Roman"/>
          <w:sz w:val="28"/>
          <w:szCs w:val="28"/>
        </w:rPr>
        <w:t xml:space="preserve"> раздела 2 Плана работы Контрольно-счетной палаты Эвенкийского муниципального района</w:t>
      </w:r>
      <w:r w:rsidR="001A1C80" w:rsidRPr="00203637">
        <w:rPr>
          <w:rFonts w:ascii="Times New Roman" w:eastAsia="Calibri" w:hAnsi="Times New Roman" w:cs="Times New Roman"/>
          <w:sz w:val="28"/>
          <w:szCs w:val="28"/>
        </w:rPr>
        <w:t xml:space="preserve"> (далее КСП ЭМР)</w:t>
      </w:r>
      <w:r w:rsidRPr="00203637">
        <w:rPr>
          <w:rFonts w:ascii="Times New Roman" w:eastAsia="Calibri" w:hAnsi="Times New Roman" w:cs="Times New Roman"/>
          <w:sz w:val="28"/>
          <w:szCs w:val="28"/>
        </w:rPr>
        <w:t xml:space="preserve"> на 2023 год, утвержденного Решением Коллегии Контрольно-счетной палаты №2 от 29 декабря 2022 года, </w:t>
      </w:r>
      <w:bookmarkStart w:id="1" w:name="_Hlk132482662"/>
      <w:r w:rsidRPr="00203637">
        <w:rPr>
          <w:rFonts w:ascii="Times New Roman" w:eastAsia="Calibri" w:hAnsi="Times New Roman" w:cs="Times New Roman"/>
          <w:sz w:val="28"/>
          <w:szCs w:val="28"/>
        </w:rPr>
        <w:t>Р</w:t>
      </w:r>
      <w:r w:rsidR="001A1C80" w:rsidRPr="00203637">
        <w:rPr>
          <w:rFonts w:ascii="Times New Roman" w:eastAsia="Calibri" w:hAnsi="Times New Roman" w:cs="Times New Roman"/>
          <w:sz w:val="28"/>
          <w:szCs w:val="28"/>
        </w:rPr>
        <w:t>аспоряжение Председателя Контрольно-счетной палаты</w:t>
      </w:r>
      <w:r w:rsidRPr="00203637">
        <w:rPr>
          <w:rFonts w:ascii="Times New Roman" w:eastAsia="Calibri" w:hAnsi="Times New Roman" w:cs="Times New Roman"/>
          <w:sz w:val="28"/>
          <w:szCs w:val="28"/>
        </w:rPr>
        <w:t xml:space="preserve"> «О проведении внешней проверки годового отчета об исполне</w:t>
      </w:r>
      <w:r w:rsidR="004D78BE" w:rsidRPr="00203637">
        <w:rPr>
          <w:rFonts w:ascii="Times New Roman" w:eastAsia="Calibri" w:hAnsi="Times New Roman" w:cs="Times New Roman"/>
          <w:sz w:val="28"/>
          <w:szCs w:val="28"/>
        </w:rPr>
        <w:t xml:space="preserve">нии бюджета поселка </w:t>
      </w:r>
      <w:proofErr w:type="spellStart"/>
      <w:r w:rsidR="004D78BE" w:rsidRPr="00203637">
        <w:rPr>
          <w:rFonts w:ascii="Times New Roman" w:eastAsia="Calibri" w:hAnsi="Times New Roman" w:cs="Times New Roman"/>
          <w:sz w:val="28"/>
          <w:szCs w:val="28"/>
        </w:rPr>
        <w:t>Чемдальск</w:t>
      </w:r>
      <w:proofErr w:type="spellEnd"/>
      <w:r w:rsidRPr="00203637">
        <w:rPr>
          <w:rFonts w:ascii="Times New Roman" w:eastAsia="Calibri" w:hAnsi="Times New Roman" w:cs="Times New Roman"/>
          <w:sz w:val="28"/>
          <w:szCs w:val="28"/>
        </w:rPr>
        <w:t xml:space="preserve"> за 2022 год» </w:t>
      </w:r>
      <w:r w:rsidR="00917030" w:rsidRPr="00203637">
        <w:rPr>
          <w:rFonts w:ascii="Times New Roman" w:eastAsia="Calibri" w:hAnsi="Times New Roman" w:cs="Times New Roman"/>
          <w:sz w:val="28"/>
          <w:szCs w:val="28"/>
        </w:rPr>
        <w:t>от 11 апреля 2023 года №31</w:t>
      </w:r>
      <w:r w:rsidRPr="00203637">
        <w:rPr>
          <w:rFonts w:ascii="Times New Roman" w:eastAsia="Calibri" w:hAnsi="Times New Roman" w:cs="Times New Roman"/>
          <w:sz w:val="28"/>
          <w:szCs w:val="28"/>
        </w:rPr>
        <w:t>.</w:t>
      </w:r>
      <w:bookmarkEnd w:id="1"/>
    </w:p>
    <w:p w14:paraId="70F40581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проверки:</w:t>
      </w:r>
    </w:p>
    <w:p w14:paraId="5C8419ED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проанализировать и оценить содержащуюся в годовой бюджетной отчетности информацию о бюджетной деятельности главного администратора бюджетных средств бюджета муниципального образования 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бюджет поселка </w:t>
      </w:r>
      <w:proofErr w:type="spellStart"/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E380DF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установить полноту и достоверность данных об исполнении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соответствие исполнения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положениям бюджетного законодательства;</w:t>
      </w:r>
    </w:p>
    <w:p w14:paraId="7CD3DACD" w14:textId="52E077D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провести оценку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667DEAF9" w14:textId="77777777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проверки:</w:t>
      </w:r>
    </w:p>
    <w:p w14:paraId="07AC4015" w14:textId="75D81815" w:rsidR="0071413B" w:rsidRPr="00203637" w:rsidRDefault="0071413B" w:rsidP="0071413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7C6D3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7C6D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средств;</w:t>
      </w:r>
    </w:p>
    <w:p w14:paraId="76230F23" w14:textId="41480DE4" w:rsidR="0071413B" w:rsidRPr="00203637" w:rsidRDefault="0071413B" w:rsidP="0071413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бюджетной отчетности об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проверка соблюдения порядка ее консолидации;</w:t>
      </w:r>
    </w:p>
    <w:p w14:paraId="3A08A3AE" w14:textId="1DF2444B" w:rsidR="0071413B" w:rsidRPr="00203637" w:rsidRDefault="0071413B" w:rsidP="0071413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 и выборочная проверка соблюдения бюджетного законодательства при организации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7C2EB0" w14:textId="1D9B0B39" w:rsidR="0071413B" w:rsidRPr="00203637" w:rsidRDefault="0071413B" w:rsidP="0071413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устранения нарушений и недостатков при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формировании бюджетной отчетности, установленных в ходе ранее проведенных контрольных и экспертно-аналитических мероприятий;</w:t>
      </w:r>
    </w:p>
    <w:p w14:paraId="4F180608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задачи, обусловленные целью внешней проверки.</w:t>
      </w:r>
    </w:p>
    <w:p w14:paraId="67AC308E" w14:textId="04C5277D" w:rsidR="0071413B" w:rsidRPr="00203637" w:rsidRDefault="0071413B" w:rsidP="0071413B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проверки: Ад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министрация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орган, организующий </w:t>
      </w:r>
      <w:r w:rsidR="00AE7634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главный администратор бюджетных </w:t>
      </w:r>
      <w:r w:rsidR="00AE7634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F94A5" w14:textId="1A88A919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проверки: </w:t>
      </w:r>
      <w:r w:rsidR="006408EF" w:rsidRP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об исполнении бюджета 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год, дополнительные документы и материалы, подтверждающие исполнение бюджета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бюджетная отчетность главного администратора бюджетных средств за 2022 год (состав и формы), иные материалы.</w:t>
      </w:r>
    </w:p>
    <w:p w14:paraId="5D866EB5" w14:textId="77777777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проверка осуществлялась инспектором инспекции внешнего финансового контроля  </w:t>
      </w:r>
      <w:r w:rsidR="006408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Побелустиковым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администраторов бюджетных ср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едств», утвержденного Решением К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оллегии КСП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ЭМР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16.01.2023 № 08.</w:t>
      </w:r>
    </w:p>
    <w:p w14:paraId="0951FDC2" w14:textId="77777777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проведения проверки - камеральный.</w:t>
      </w:r>
    </w:p>
    <w:p w14:paraId="2980B373" w14:textId="77777777" w:rsidR="0071413B" w:rsidRPr="00203637" w:rsidRDefault="0071413B" w:rsidP="0071413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4971108D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3 ст. 264.4. Бюджетного кодекса Россий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(далее – БК РФ) 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об исполне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представлен в КСП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ЭМР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срока, установленного п. 3 ст. 47 Положения о бюджетном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в поселке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Решением 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Схода граждан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15.10.2020 № 15</w:t>
      </w:r>
      <w:r w:rsidR="001A1C8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Положение о бюджетном процессе).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94DFE5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</w:t>
      </w:r>
      <w:r w:rsid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тчетом об исполне</w:t>
      </w:r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представлена следующая отчетная документация:</w:t>
      </w:r>
    </w:p>
    <w:p w14:paraId="175E1289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баланс исполнения бюджета (ф. 0503120);</w:t>
      </w:r>
    </w:p>
    <w:p w14:paraId="0EF9CA0B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финансовых результатах деятельности (ф. 0503121);</w:t>
      </w:r>
    </w:p>
    <w:p w14:paraId="1FC8CB49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движении денежных средств (ф. 0503123);</w:t>
      </w:r>
    </w:p>
    <w:p w14:paraId="752B6757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поя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снительная записка (ф. 0503160);</w:t>
      </w:r>
    </w:p>
    <w:p w14:paraId="1D285ACF" w14:textId="77777777" w:rsidR="005D1091" w:rsidRPr="005D1091" w:rsidRDefault="005D1091" w:rsidP="005D10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0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движении нефинансовых активов (ф.0503168);</w:t>
      </w:r>
    </w:p>
    <w:p w14:paraId="303087C0" w14:textId="77777777" w:rsidR="005D1091" w:rsidRPr="005D1091" w:rsidRDefault="005D1091" w:rsidP="005D10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0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по дебиторской и кредиторской задолженности (ф.0503169);</w:t>
      </w:r>
    </w:p>
    <w:p w14:paraId="50D48E57" w14:textId="77777777" w:rsidR="005D1091" w:rsidRPr="005D1091" w:rsidRDefault="005D1091" w:rsidP="005D10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0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изменении остатков валюты баланса (ф.0503173);</w:t>
      </w:r>
    </w:p>
    <w:p w14:paraId="05658549" w14:textId="77777777" w:rsidR="005D1091" w:rsidRPr="005D1091" w:rsidRDefault="005D1091" w:rsidP="005D10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консолидированного бюджета (ф.0503317); </w:t>
      </w:r>
    </w:p>
    <w:p w14:paraId="22B707A8" w14:textId="77777777" w:rsidR="005D1091" w:rsidRPr="00203637" w:rsidRDefault="005D1091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D6C1B" w14:textId="7777777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проанализированы следующие нормативные правовые акты:</w:t>
      </w:r>
    </w:p>
    <w:p w14:paraId="32192ADD" w14:textId="2BB17F28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Решение 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Схода граждан поселка </w:t>
      </w:r>
      <w:proofErr w:type="spellStart"/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.12.2021 №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бюджете поселка </w:t>
      </w:r>
      <w:proofErr w:type="spellStart"/>
      <w:r w:rsidR="007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и плановый период 202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D78BE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(в ред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5D1091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12.08.2022</w:t>
      </w:r>
      <w:r w:rsidR="005D1091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№ 22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07.11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5D1091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№27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19.12.2022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8E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Решение о бюджете на 2022 год).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8E3F13" w14:textId="07AB59C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Иные документы, относящиеся к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исполнению бюджета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году.</w:t>
      </w:r>
    </w:p>
    <w:p w14:paraId="0E1666C4" w14:textId="47DDAB87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264.4 БК РФ в рамк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проведения внешней проверки 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тчета об исполне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была проведена проверка годовой бюджетной отчетности одного </w:t>
      </w:r>
      <w:r w:rsidR="00FC189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администратора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 </w:t>
      </w:r>
      <w:r w:rsidR="00FC189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поселка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711CC9" w14:textId="77777777" w:rsidR="0071413B" w:rsidRPr="00203637" w:rsidRDefault="0071413B" w:rsidP="0071413B">
      <w:pPr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фактов, способных негат</w:t>
      </w:r>
      <w:r w:rsidR="005D1091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ивно повлиять на достоверность </w:t>
      </w:r>
      <w:r w:rsidR="005D1091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тчета об исполне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нии бюджета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2022 год, не установлено. Результаты проверки бюджетной отчетности главного администратора бюджетных средств отражены в разделе 6 настоящего заключения.</w:t>
      </w:r>
    </w:p>
    <w:p w14:paraId="6A6A0B9B" w14:textId="77777777" w:rsidR="0071413B" w:rsidRPr="00203637" w:rsidRDefault="0071413B" w:rsidP="0071413B">
      <w:pPr>
        <w:tabs>
          <w:tab w:val="right" w:pos="284"/>
        </w:tabs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Анализ основных парамет</w:t>
      </w:r>
      <w:r w:rsidR="00A161D1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 бюджета поселка </w:t>
      </w:r>
      <w:proofErr w:type="spellStart"/>
      <w:r w:rsidR="00A161D1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2022 год</w:t>
      </w:r>
    </w:p>
    <w:p w14:paraId="014C292E" w14:textId="3944AA76" w:rsidR="0071413B" w:rsidRPr="00203637" w:rsidRDefault="0071413B" w:rsidP="007141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первоначальной редакции Решения о бюджете на 2022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бюджет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утвержден по доходам в сумме 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6 773,8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руб., по расходам в сумме </w:t>
      </w:r>
      <w:r w:rsidR="00B26FA0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6 773,8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руб.  дефицит бюджета в сумме 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0,0 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14:paraId="61D48474" w14:textId="7887F9B4" w:rsidR="0071413B" w:rsidRPr="00203637" w:rsidRDefault="0071413B" w:rsidP="0071413B">
      <w:pP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периоде в Решение о бюджете на 2022 год были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четыре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изменения. Внесенные изменения касались основных характеристик  бюджета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а также между разделами, видами расходов и целевыми статьями классификации.</w:t>
      </w:r>
    </w:p>
    <w:p w14:paraId="30EA3F91" w14:textId="32FA5D31" w:rsidR="0071413B" w:rsidRPr="00203637" w:rsidRDefault="0071413B" w:rsidP="0071413B">
      <w:pP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внесенных изменений в Решение о бюджете на 2022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год, бюджет</w:t>
      </w:r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B26FA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был утвер</w:t>
      </w:r>
      <w:r w:rsidR="00FA2D8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 по доходам в сумме 6 964,5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</w:t>
      </w:r>
      <w:r w:rsidR="00FA2D8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., по расходам в сумме 7 231,1</w:t>
      </w:r>
      <w:r w:rsidR="0064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</w:t>
      </w:r>
      <w:r w:rsidR="00FA2D8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уб., с дефицитом в размере 266,6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руб.</w:t>
      </w:r>
    </w:p>
    <w:p w14:paraId="2595726C" w14:textId="79508667" w:rsidR="0071413B" w:rsidRPr="00203637" w:rsidRDefault="0071413B" w:rsidP="0071413B">
      <w:pP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соотношения утвержденных и фактически исполненных основных </w:t>
      </w:r>
      <w:r w:rsidR="007C08AD" w:rsidRP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 бюджета</w:t>
      </w:r>
      <w:r w:rsid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Таблице 1. </w:t>
      </w:r>
    </w:p>
    <w:p w14:paraId="71535D6B" w14:textId="77777777" w:rsidR="0071413B" w:rsidRPr="005D1091" w:rsidRDefault="0071413B" w:rsidP="0071413B">
      <w:pPr>
        <w:tabs>
          <w:tab w:val="left" w:pos="108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0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984"/>
        <w:gridCol w:w="1843"/>
        <w:gridCol w:w="2126"/>
      </w:tblGrid>
      <w:tr w:rsidR="0071413B" w:rsidRPr="0071413B" w14:paraId="61E439D6" w14:textId="77777777" w:rsidTr="00623F1B">
        <w:trPr>
          <w:trHeight w:val="213"/>
        </w:trPr>
        <w:tc>
          <w:tcPr>
            <w:tcW w:w="3686" w:type="dxa"/>
          </w:tcPr>
          <w:p w14:paraId="2633B6F4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показателей </w:t>
            </w:r>
          </w:p>
        </w:tc>
        <w:tc>
          <w:tcPr>
            <w:tcW w:w="1984" w:type="dxa"/>
          </w:tcPr>
          <w:p w14:paraId="28FE6378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843" w:type="dxa"/>
          </w:tcPr>
          <w:p w14:paraId="423AA83E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2126" w:type="dxa"/>
          </w:tcPr>
          <w:p w14:paraId="5F552E75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Дефицит -/профицит + </w:t>
            </w:r>
          </w:p>
        </w:tc>
      </w:tr>
      <w:tr w:rsidR="0071413B" w:rsidRPr="0071413B" w14:paraId="4DC5F1A7" w14:textId="77777777" w:rsidTr="00623F1B">
        <w:trPr>
          <w:trHeight w:val="319"/>
        </w:trPr>
        <w:tc>
          <w:tcPr>
            <w:tcW w:w="3686" w:type="dxa"/>
          </w:tcPr>
          <w:p w14:paraId="0B8B9FD6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984" w:type="dxa"/>
          </w:tcPr>
          <w:p w14:paraId="067F8719" w14:textId="77777777" w:rsidR="0071413B" w:rsidRPr="005D1091" w:rsidRDefault="00FA2D8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6 773,8</w:t>
            </w:r>
          </w:p>
        </w:tc>
        <w:tc>
          <w:tcPr>
            <w:tcW w:w="1843" w:type="dxa"/>
          </w:tcPr>
          <w:p w14:paraId="656E7FF4" w14:textId="77777777" w:rsidR="0071413B" w:rsidRPr="005D1091" w:rsidRDefault="00FA2D8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6 773,8</w:t>
            </w:r>
          </w:p>
        </w:tc>
        <w:tc>
          <w:tcPr>
            <w:tcW w:w="2126" w:type="dxa"/>
          </w:tcPr>
          <w:p w14:paraId="5B2FA47B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413B" w:rsidRPr="0071413B" w14:paraId="553538AD" w14:textId="77777777" w:rsidTr="00623F1B">
        <w:trPr>
          <w:trHeight w:val="323"/>
        </w:trPr>
        <w:tc>
          <w:tcPr>
            <w:tcW w:w="3686" w:type="dxa"/>
          </w:tcPr>
          <w:p w14:paraId="3DD46DE2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984" w:type="dxa"/>
          </w:tcPr>
          <w:p w14:paraId="19884541" w14:textId="77777777" w:rsidR="0071413B" w:rsidRPr="005D1091" w:rsidRDefault="00FA2D8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6 964,5</w:t>
            </w:r>
          </w:p>
        </w:tc>
        <w:tc>
          <w:tcPr>
            <w:tcW w:w="1843" w:type="dxa"/>
          </w:tcPr>
          <w:p w14:paraId="1BD59366" w14:textId="77777777" w:rsidR="0071413B" w:rsidRPr="005D1091" w:rsidRDefault="00FA2D8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2126" w:type="dxa"/>
          </w:tcPr>
          <w:p w14:paraId="6B848027" w14:textId="77777777" w:rsidR="0071413B" w:rsidRPr="005D1091" w:rsidRDefault="00FA2D8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- 266,6</w:t>
            </w:r>
          </w:p>
        </w:tc>
      </w:tr>
      <w:tr w:rsidR="0071413B" w:rsidRPr="0071413B" w14:paraId="57CACF4F" w14:textId="77777777" w:rsidTr="00623F1B">
        <w:trPr>
          <w:trHeight w:val="273"/>
        </w:trPr>
        <w:tc>
          <w:tcPr>
            <w:tcW w:w="3686" w:type="dxa"/>
          </w:tcPr>
          <w:p w14:paraId="75CC1CE3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тыс. руб.</w:t>
            </w:r>
          </w:p>
        </w:tc>
        <w:tc>
          <w:tcPr>
            <w:tcW w:w="1984" w:type="dxa"/>
          </w:tcPr>
          <w:p w14:paraId="327D1AB7" w14:textId="77777777" w:rsidR="0071413B" w:rsidRPr="005D1091" w:rsidRDefault="0084284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6 971,4</w:t>
            </w:r>
          </w:p>
        </w:tc>
        <w:tc>
          <w:tcPr>
            <w:tcW w:w="1843" w:type="dxa"/>
          </w:tcPr>
          <w:p w14:paraId="0476A7D7" w14:textId="77777777" w:rsidR="0071413B" w:rsidRPr="005D1091" w:rsidRDefault="0084284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6 659,7</w:t>
            </w:r>
          </w:p>
        </w:tc>
        <w:tc>
          <w:tcPr>
            <w:tcW w:w="2126" w:type="dxa"/>
          </w:tcPr>
          <w:p w14:paraId="57118FE9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+311,7</w:t>
            </w:r>
          </w:p>
        </w:tc>
      </w:tr>
      <w:tr w:rsidR="0071413B" w:rsidRPr="0071413B" w14:paraId="2415FF0D" w14:textId="77777777" w:rsidTr="00623F1B">
        <w:trPr>
          <w:trHeight w:val="263"/>
        </w:trPr>
        <w:tc>
          <w:tcPr>
            <w:tcW w:w="3686" w:type="dxa"/>
          </w:tcPr>
          <w:p w14:paraId="1A7FF899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</w:t>
            </w:r>
            <w:proofErr w:type="spellEnd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.), тыс. руб.</w:t>
            </w:r>
          </w:p>
        </w:tc>
        <w:tc>
          <w:tcPr>
            <w:tcW w:w="1984" w:type="dxa"/>
          </w:tcPr>
          <w:p w14:paraId="3A70B277" w14:textId="77777777" w:rsidR="0071413B" w:rsidRPr="005D1091" w:rsidRDefault="0084284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+ 197,6</w:t>
            </w:r>
          </w:p>
        </w:tc>
        <w:tc>
          <w:tcPr>
            <w:tcW w:w="1843" w:type="dxa"/>
          </w:tcPr>
          <w:p w14:paraId="107B5181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-114,1</w:t>
            </w:r>
          </w:p>
        </w:tc>
        <w:tc>
          <w:tcPr>
            <w:tcW w:w="2126" w:type="dxa"/>
          </w:tcPr>
          <w:p w14:paraId="65F28645" w14:textId="50CBB78E" w:rsidR="0071413B" w:rsidRPr="005D1091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6408EF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C1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</w:t>
            </w:r>
          </w:p>
        </w:tc>
      </w:tr>
      <w:tr w:rsidR="0071413B" w:rsidRPr="0071413B" w14:paraId="6EEB844C" w14:textId="77777777" w:rsidTr="00623F1B">
        <w:trPr>
          <w:trHeight w:val="266"/>
        </w:trPr>
        <w:tc>
          <w:tcPr>
            <w:tcW w:w="3686" w:type="dxa"/>
          </w:tcPr>
          <w:p w14:paraId="7AE66478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</w:t>
            </w:r>
            <w:proofErr w:type="spellEnd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.), тыс. руб.</w:t>
            </w:r>
          </w:p>
        </w:tc>
        <w:tc>
          <w:tcPr>
            <w:tcW w:w="1984" w:type="dxa"/>
          </w:tcPr>
          <w:p w14:paraId="73A94C1F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+6,9</w:t>
            </w:r>
          </w:p>
        </w:tc>
        <w:tc>
          <w:tcPr>
            <w:tcW w:w="1843" w:type="dxa"/>
          </w:tcPr>
          <w:p w14:paraId="40DA3D45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-571,4</w:t>
            </w:r>
          </w:p>
        </w:tc>
        <w:tc>
          <w:tcPr>
            <w:tcW w:w="2126" w:type="dxa"/>
          </w:tcPr>
          <w:p w14:paraId="0F6D4B39" w14:textId="6503719A" w:rsidR="0071413B" w:rsidRPr="005D1091" w:rsidRDefault="00FC18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+298,3</w:t>
            </w:r>
          </w:p>
        </w:tc>
      </w:tr>
      <w:tr w:rsidR="0071413B" w:rsidRPr="0071413B" w14:paraId="637E81D4" w14:textId="77777777" w:rsidTr="00623F1B">
        <w:trPr>
          <w:trHeight w:val="271"/>
        </w:trPr>
        <w:tc>
          <w:tcPr>
            <w:tcW w:w="3686" w:type="dxa"/>
          </w:tcPr>
          <w:p w14:paraId="5C3F5975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</w:t>
            </w:r>
            <w:proofErr w:type="spellEnd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.), в %</w:t>
            </w:r>
          </w:p>
        </w:tc>
        <w:tc>
          <w:tcPr>
            <w:tcW w:w="1984" w:type="dxa"/>
          </w:tcPr>
          <w:p w14:paraId="0557D578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+ 2,9</w:t>
            </w:r>
          </w:p>
        </w:tc>
        <w:tc>
          <w:tcPr>
            <w:tcW w:w="1843" w:type="dxa"/>
          </w:tcPr>
          <w:p w14:paraId="15A508A8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2126" w:type="dxa"/>
          </w:tcPr>
          <w:p w14:paraId="7749C103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413B" w:rsidRPr="0071413B" w14:paraId="01A1DC3D" w14:textId="77777777" w:rsidTr="00623F1B">
        <w:trPr>
          <w:trHeight w:val="260"/>
        </w:trPr>
        <w:tc>
          <w:tcPr>
            <w:tcW w:w="3686" w:type="dxa"/>
          </w:tcPr>
          <w:p w14:paraId="07479808" w14:textId="77777777" w:rsidR="0071413B" w:rsidRPr="005D1091" w:rsidRDefault="0071413B" w:rsidP="00714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</w:t>
            </w:r>
            <w:proofErr w:type="spellEnd"/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.), в %</w:t>
            </w:r>
          </w:p>
        </w:tc>
        <w:tc>
          <w:tcPr>
            <w:tcW w:w="1984" w:type="dxa"/>
          </w:tcPr>
          <w:p w14:paraId="60A0219A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+0,01</w:t>
            </w:r>
          </w:p>
        </w:tc>
        <w:tc>
          <w:tcPr>
            <w:tcW w:w="1843" w:type="dxa"/>
          </w:tcPr>
          <w:p w14:paraId="7A3601B6" w14:textId="77777777" w:rsidR="0071413B" w:rsidRPr="005D1091" w:rsidRDefault="00D81E0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- 7,9</w:t>
            </w:r>
          </w:p>
        </w:tc>
        <w:tc>
          <w:tcPr>
            <w:tcW w:w="2126" w:type="dxa"/>
          </w:tcPr>
          <w:p w14:paraId="04EC8B1F" w14:textId="77777777" w:rsidR="0071413B" w:rsidRPr="005D1091" w:rsidRDefault="00A161D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-211,7</w:t>
            </w:r>
          </w:p>
        </w:tc>
      </w:tr>
    </w:tbl>
    <w:p w14:paraId="398AB793" w14:textId="1A0AA399" w:rsidR="0071413B" w:rsidRPr="0071413B" w:rsidRDefault="0071413B" w:rsidP="00714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13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в первоначальной редакции решения</w:t>
      </w:r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23F1B">
        <w:rPr>
          <w:rFonts w:ascii="Times New Roman" w:eastAsia="Times New Roman" w:hAnsi="Times New Roman" w:cs="Times New Roman"/>
          <w:sz w:val="20"/>
          <w:szCs w:val="20"/>
          <w:lang w:eastAsia="ru-RU"/>
        </w:rPr>
        <w:t>о бюджете</w:t>
      </w:r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поселка </w:t>
      </w:r>
      <w:proofErr w:type="spellStart"/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>Чемдальск</w:t>
      </w:r>
      <w:proofErr w:type="spellEnd"/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2022 год;</w:t>
      </w:r>
    </w:p>
    <w:p w14:paraId="19B14AB6" w14:textId="57F80714" w:rsidR="0071413B" w:rsidRPr="0071413B" w:rsidRDefault="0071413B" w:rsidP="00714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413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>– в результате</w:t>
      </w:r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внесенных изменений </w:t>
      </w:r>
      <w:r w:rsidR="007C08AD">
        <w:rPr>
          <w:rFonts w:ascii="Times New Roman" w:eastAsia="Times New Roman" w:hAnsi="Times New Roman" w:cs="Times New Roman"/>
          <w:sz w:val="20"/>
          <w:szCs w:val="20"/>
          <w:lang w:eastAsia="ru-RU"/>
        </w:rPr>
        <w:t>в бюджет</w:t>
      </w:r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FA2D8C">
        <w:rPr>
          <w:rFonts w:ascii="Times New Roman" w:eastAsia="Times New Roman" w:hAnsi="Times New Roman" w:cs="Times New Roman"/>
          <w:sz w:val="20"/>
          <w:szCs w:val="20"/>
          <w:lang w:eastAsia="ru-RU"/>
        </w:rPr>
        <w:t>Чемдальск</w:t>
      </w:r>
      <w:proofErr w:type="spellEnd"/>
      <w:r w:rsidRPr="0071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2022 год.</w:t>
      </w:r>
    </w:p>
    <w:p w14:paraId="418BF1EC" w14:textId="77777777" w:rsidR="0071413B" w:rsidRPr="0071413B" w:rsidRDefault="0071413B" w:rsidP="0071413B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0CCC15A" w14:textId="7CB4EE99" w:rsidR="0071413B" w:rsidRDefault="0071413B" w:rsidP="0071413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показателями, первоначально утвержденными Решением о бюджете на 2022 год, фактическое исполнение по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доходам бюджета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на 197,6 тыс. руб. или на 2,9 %, по расходам уменьшились на 114,1 тыс. руб. или на 1,6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исполнен с профицитом в сумме 311,7 тыс. руб.</w:t>
      </w:r>
    </w:p>
    <w:p w14:paraId="3A2272A3" w14:textId="77777777" w:rsidR="00D70516" w:rsidRPr="00203637" w:rsidRDefault="00D70516" w:rsidP="0071413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694A1FE" w14:textId="3860F516" w:rsidR="0071413B" w:rsidRPr="00203637" w:rsidRDefault="0071413B" w:rsidP="0071413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7C08AD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 бюджета</w:t>
      </w:r>
      <w:r w:rsidR="00A161D1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поселка </w:t>
      </w:r>
      <w:proofErr w:type="spellStart"/>
      <w:r w:rsidR="00A161D1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доходам</w:t>
      </w:r>
    </w:p>
    <w:p w14:paraId="1F1771C1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Прогнозные назначения по дохо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дам бюджета поселка </w:t>
      </w:r>
      <w:proofErr w:type="spellStart"/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с учетом внесен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изменений составили 6 964,5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числе:</w:t>
      </w:r>
    </w:p>
    <w:p w14:paraId="6173C2D7" w14:textId="77777777" w:rsidR="0071413B" w:rsidRPr="00203637" w:rsidRDefault="0071413B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налоговые дохо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ды – 145,1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14:paraId="3106A81E" w14:textId="77777777" w:rsidR="0071413B" w:rsidRPr="00203637" w:rsidRDefault="00A161D1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неналоговые доходы – 11,4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14:paraId="676C63F5" w14:textId="77777777" w:rsidR="0071413B" w:rsidRPr="00203637" w:rsidRDefault="0071413B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змезд</w:t>
      </w:r>
      <w:r w:rsidR="005D109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поступления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6 808,0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44439EC5" w14:textId="771CA6FB" w:rsidR="0071413B" w:rsidRPr="00203637" w:rsidRDefault="0071413B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изменений доходной ча</w:t>
      </w:r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бюджета поселка </w:t>
      </w:r>
      <w:proofErr w:type="spellStart"/>
      <w:r w:rsidR="00A161D1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таблице №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14:paraId="712ED390" w14:textId="77777777" w:rsidR="0071413B" w:rsidRPr="005D1091" w:rsidRDefault="0071413B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</w:t>
      </w:r>
      <w:r w:rsidRPr="005D10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126"/>
        <w:gridCol w:w="1843"/>
        <w:gridCol w:w="1134"/>
        <w:gridCol w:w="1134"/>
      </w:tblGrid>
      <w:tr w:rsidR="0071413B" w:rsidRPr="0071413B" w14:paraId="6944AC5A" w14:textId="77777777" w:rsidTr="00623F1B">
        <w:trPr>
          <w:trHeight w:val="824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2C774003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Группы доходов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5DF80F0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  <w:p w14:paraId="1A626CD4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о бюджете</w:t>
            </w:r>
          </w:p>
          <w:p w14:paraId="4CF5BB62" w14:textId="77777777" w:rsidR="0071413B" w:rsidRPr="005D1091" w:rsidRDefault="00FA703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№52 от</w:t>
            </w:r>
            <w:r w:rsid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71413B"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</w:t>
            </w:r>
            <w:r w:rsidR="005D1091"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.2021  </w:t>
            </w:r>
          </w:p>
          <w:p w14:paraId="0A228B8D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5057BE" w14:textId="77777777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  <w:p w14:paraId="274304B8" w14:textId="4F43C835" w:rsidR="0071413B" w:rsidRPr="005D1091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о</w:t>
            </w:r>
            <w:r w:rsidR="00623F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бюджете</w:t>
            </w:r>
          </w:p>
          <w:p w14:paraId="5118C183" w14:textId="77777777" w:rsidR="0071413B" w:rsidRPr="005D1091" w:rsidRDefault="00FA703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27 от 19</w:t>
            </w:r>
            <w:r w:rsidR="0071413B"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.12.2022</w:t>
            </w:r>
          </w:p>
          <w:p w14:paraId="3DC4A10C" w14:textId="77777777" w:rsidR="0071413B" w:rsidRPr="005D1091" w:rsidRDefault="005D1091" w:rsidP="005D10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71413B" w:rsidRPr="005D1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6316C3" w14:textId="77777777" w:rsidR="0071413B" w:rsidRPr="000C6790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изменений</w:t>
            </w:r>
          </w:p>
          <w:p w14:paraId="636D02AA" w14:textId="017D6B6E" w:rsidR="0071413B" w:rsidRPr="000C6790" w:rsidRDefault="00623F1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0C6790" w:rsidRPr="000C6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гр.3-гр.2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</w:t>
            </w:r>
          </w:p>
          <w:p w14:paraId="3629C1F0" w14:textId="438F0226" w:rsidR="000C6790" w:rsidRPr="000C6790" w:rsidRDefault="000C6790" w:rsidP="0062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01E914" w14:textId="77777777" w:rsidR="0071413B" w:rsidRPr="000C6790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изменений</w:t>
            </w:r>
          </w:p>
          <w:p w14:paraId="23254E97" w14:textId="5AB9ED30" w:rsidR="0071413B" w:rsidRPr="000C6790" w:rsidRDefault="0071413B" w:rsidP="0062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</w:tr>
      <w:tr w:rsidR="0071413B" w:rsidRPr="0071413B" w14:paraId="7345FEB7" w14:textId="77777777" w:rsidTr="00623F1B">
        <w:trPr>
          <w:trHeight w:val="145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94ED10" w14:textId="77777777" w:rsidR="0071413B" w:rsidRPr="000C6790" w:rsidRDefault="000C67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E5735AA" w14:textId="77777777" w:rsidR="0071413B" w:rsidRPr="000C6790" w:rsidRDefault="000C67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2B26CBC" w14:textId="77777777" w:rsidR="0071413B" w:rsidRPr="000C6790" w:rsidRDefault="000C67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02480E" w14:textId="77777777" w:rsidR="0071413B" w:rsidRPr="000C6790" w:rsidRDefault="000C67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C93202C" w14:textId="77777777" w:rsidR="0071413B" w:rsidRPr="000C6790" w:rsidRDefault="000C679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6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71413B" w:rsidRPr="0071413B" w14:paraId="2FBAA5D6" w14:textId="77777777" w:rsidTr="00623F1B">
        <w:trPr>
          <w:trHeight w:val="251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5F499E4D" w14:textId="77777777" w:rsidR="0071413B" w:rsidRPr="006C084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64AD880" w14:textId="77777777" w:rsidR="0071413B" w:rsidRPr="006C084D" w:rsidRDefault="00FA2D8C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06068E4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DA4A3C2" w14:textId="77777777" w:rsidR="0071413B" w:rsidRPr="000C6790" w:rsidRDefault="00F011E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FA7038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02B1468" w14:textId="1C3251B3" w:rsidR="0071413B" w:rsidRPr="000C6790" w:rsidRDefault="00623F1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B92091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17,11</w:t>
            </w:r>
          </w:p>
        </w:tc>
      </w:tr>
      <w:tr w:rsidR="0071413B" w:rsidRPr="0071413B" w14:paraId="19231EA7" w14:textId="77777777" w:rsidTr="00623F1B">
        <w:trPr>
          <w:trHeight w:val="251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678C43B" w14:textId="77777777" w:rsidR="0071413B" w:rsidRPr="006C084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0CDBD6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25A5066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DCB209E" w14:textId="77777777" w:rsidR="0071413B" w:rsidRPr="000C6790" w:rsidRDefault="00F011E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FA7038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4AF036D" w14:textId="51750BC7" w:rsidR="0071413B" w:rsidRPr="000C6790" w:rsidRDefault="00623F1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B92091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9,61</w:t>
            </w:r>
          </w:p>
        </w:tc>
      </w:tr>
      <w:tr w:rsidR="0071413B" w:rsidRPr="0071413B" w14:paraId="5C3DF792" w14:textId="77777777" w:rsidTr="00623F1B">
        <w:trPr>
          <w:trHeight w:val="243"/>
        </w:trPr>
        <w:tc>
          <w:tcPr>
            <w:tcW w:w="3119" w:type="dxa"/>
          </w:tcPr>
          <w:p w14:paraId="735BAD07" w14:textId="77777777" w:rsidR="0071413B" w:rsidRPr="006C084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</w:tcPr>
          <w:p w14:paraId="1F09E6DF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6 639,5</w:t>
            </w:r>
          </w:p>
        </w:tc>
        <w:tc>
          <w:tcPr>
            <w:tcW w:w="1843" w:type="dxa"/>
          </w:tcPr>
          <w:p w14:paraId="59EAC044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6 808,0</w:t>
            </w:r>
          </w:p>
        </w:tc>
        <w:tc>
          <w:tcPr>
            <w:tcW w:w="1134" w:type="dxa"/>
          </w:tcPr>
          <w:p w14:paraId="1DDEE6F1" w14:textId="77777777" w:rsidR="0071413B" w:rsidRPr="000C6790" w:rsidRDefault="00F011E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FA7038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168,5</w:t>
            </w:r>
          </w:p>
        </w:tc>
        <w:tc>
          <w:tcPr>
            <w:tcW w:w="1134" w:type="dxa"/>
          </w:tcPr>
          <w:p w14:paraId="0B4E7728" w14:textId="379B46D1" w:rsidR="0071413B" w:rsidRPr="000C6790" w:rsidRDefault="00623F1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B92091" w:rsidRPr="000C6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2,54</w:t>
            </w:r>
          </w:p>
        </w:tc>
      </w:tr>
      <w:tr w:rsidR="0071413B" w:rsidRPr="0071413B" w14:paraId="02E8A339" w14:textId="77777777" w:rsidTr="00623F1B">
        <w:tc>
          <w:tcPr>
            <w:tcW w:w="3119" w:type="dxa"/>
            <w:shd w:val="clear" w:color="auto" w:fill="auto"/>
          </w:tcPr>
          <w:p w14:paraId="504F852A" w14:textId="77777777" w:rsidR="0071413B" w:rsidRPr="006C084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</w:tcPr>
          <w:p w14:paraId="15B47008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6 773,8</w:t>
            </w:r>
          </w:p>
        </w:tc>
        <w:tc>
          <w:tcPr>
            <w:tcW w:w="1843" w:type="dxa"/>
            <w:shd w:val="clear" w:color="auto" w:fill="auto"/>
          </w:tcPr>
          <w:p w14:paraId="463A993B" w14:textId="77777777" w:rsidR="0071413B" w:rsidRPr="006C084D" w:rsidRDefault="00FA70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08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6 964,5</w:t>
            </w:r>
          </w:p>
        </w:tc>
        <w:tc>
          <w:tcPr>
            <w:tcW w:w="1134" w:type="dxa"/>
            <w:shd w:val="clear" w:color="auto" w:fill="auto"/>
          </w:tcPr>
          <w:p w14:paraId="51153A5C" w14:textId="77777777" w:rsidR="0071413B" w:rsidRPr="000C6790" w:rsidRDefault="00F011E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B92091" w:rsidRPr="000C6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190,7</w:t>
            </w:r>
          </w:p>
        </w:tc>
        <w:tc>
          <w:tcPr>
            <w:tcW w:w="1134" w:type="dxa"/>
            <w:shd w:val="clear" w:color="auto" w:fill="auto"/>
          </w:tcPr>
          <w:p w14:paraId="366CB1AA" w14:textId="5AF89591" w:rsidR="0071413B" w:rsidRPr="000C6790" w:rsidRDefault="00623F1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B92091" w:rsidRPr="000C6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2,81</w:t>
            </w:r>
          </w:p>
        </w:tc>
      </w:tr>
    </w:tbl>
    <w:p w14:paraId="31CA7ABB" w14:textId="77777777" w:rsidR="0071413B" w:rsidRPr="0071413B" w:rsidRDefault="0071413B" w:rsidP="0047250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D3142E" w14:textId="0564B18C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по доходам составило </w:t>
      </w:r>
      <w:r w:rsidR="009E62FF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6 971,4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или 100,01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уточненных плановых назначений, из них:</w:t>
      </w:r>
    </w:p>
    <w:p w14:paraId="1FB9F4B1" w14:textId="77777777" w:rsidR="0071413B" w:rsidRPr="00203637" w:rsidRDefault="0071413B" w:rsidP="0071413B">
      <w:pPr>
        <w:spacing w:after="0"/>
        <w:ind w:left="11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поступления по н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алоговым доходам со</w:t>
      </w:r>
      <w:r w:rsidR="002E1C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ставили 152,0 тыс. руб. или 2,18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объема п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оступлений и исполнены на 104,75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прогнозных назначений;</w:t>
      </w:r>
    </w:p>
    <w:p w14:paraId="3BECE4D2" w14:textId="77777777" w:rsidR="0071413B" w:rsidRPr="00203637" w:rsidRDefault="0071413B" w:rsidP="0071413B">
      <w:pPr>
        <w:spacing w:after="0"/>
        <w:ind w:left="11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неналоговым доходам п</w:t>
      </w:r>
      <w:r w:rsidR="002E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оступило 11,4 тыс. руб. или 0,16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объема поступлений и исполнены на 100,00 % от прогнозных назначений; </w:t>
      </w:r>
    </w:p>
    <w:p w14:paraId="0A1320D0" w14:textId="77777777" w:rsidR="0071413B" w:rsidRPr="00203637" w:rsidRDefault="0071413B" w:rsidP="007141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C084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безвозмездные поступления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</w:t>
      </w:r>
      <w:r w:rsidR="002E1C54">
        <w:rPr>
          <w:rFonts w:ascii="Times New Roman" w:eastAsia="Times New Roman" w:hAnsi="Times New Roman" w:cs="Times New Roman"/>
          <w:sz w:val="28"/>
          <w:szCs w:val="28"/>
          <w:lang w:eastAsia="ru-RU"/>
        </w:rPr>
        <w:t>ли – 6 808,0 тыс. руб. или 97,66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объема поступлений и исполнены на </w:t>
      </w:r>
      <w:r w:rsidR="000C679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прогнозных назначений.</w:t>
      </w:r>
    </w:p>
    <w:p w14:paraId="1ADE7AD8" w14:textId="1567C0A1" w:rsidR="0071413B" w:rsidRPr="00203637" w:rsidRDefault="006C084D" w:rsidP="0071413B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и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сполнение доходной ча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бюджета поселка </w:t>
      </w:r>
      <w:proofErr w:type="spellStart"/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таблице №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14:paraId="641B7B8C" w14:textId="77777777" w:rsidR="0071413B" w:rsidRPr="006C084D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  <w:r w:rsidR="00472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6C08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134"/>
        <w:gridCol w:w="1134"/>
        <w:gridCol w:w="992"/>
        <w:gridCol w:w="1134"/>
      </w:tblGrid>
      <w:tr w:rsidR="0071413B" w:rsidRPr="00F25304" w14:paraId="037ED04E" w14:textId="77777777" w:rsidTr="00623F1B">
        <w:trPr>
          <w:trHeight w:val="61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F83DA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FB71" w14:textId="2775A6D1" w:rsidR="0071413B" w:rsidRPr="00F25304" w:rsidRDefault="007C08AD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Утвержденный бюджет 2022</w:t>
            </w:r>
            <w:r w:rsidR="0071413B"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года</w:t>
            </w:r>
          </w:p>
          <w:p w14:paraId="7827EF32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(в годовом отчете), </w:t>
            </w:r>
          </w:p>
          <w:p w14:paraId="2F104681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D87BA" w14:textId="5DDEE87B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Исполнено </w:t>
            </w:r>
            <w:r w:rsidR="007C08AD"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 2022</w:t>
            </w:r>
            <w:r w:rsidR="003911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  <w:r w:rsidR="003911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од</w:t>
            </w: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14:paraId="6AFC9B45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(отчет), </w:t>
            </w:r>
          </w:p>
          <w:p w14:paraId="77DDA8D0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2326B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</w:p>
          <w:p w14:paraId="2274FA48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исполнения бюджета</w:t>
            </w:r>
          </w:p>
          <w:p w14:paraId="7CB2539A" w14:textId="77777777" w:rsidR="0071413B" w:rsidRPr="00F25304" w:rsidRDefault="0071413B" w:rsidP="0071413B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E24AB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за 2021 год,</w:t>
            </w:r>
          </w:p>
          <w:p w14:paraId="4B119959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4D461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 </w:t>
            </w:r>
            <w:r w:rsidR="00472508"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гр.3- гр.5</w:t>
            </w:r>
            <w:r w:rsidR="00472508"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14:paraId="6EC48067" w14:textId="77777777" w:rsidR="0071413B" w:rsidRPr="00F25304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</w:tr>
      <w:tr w:rsidR="0071413B" w:rsidRPr="00F25304" w14:paraId="01484CC0" w14:textId="77777777" w:rsidTr="00623F1B">
        <w:trPr>
          <w:trHeight w:val="1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9EE91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20D4A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496D8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B9077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227AE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9211E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F25304" w14:paraId="319F1177" w14:textId="77777777" w:rsidTr="00623F1B">
        <w:trPr>
          <w:trHeight w:val="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514DA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Налоговые доходы, </w:t>
            </w: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т.ч.:</w:t>
            </w: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DC464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4036C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5430EE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60D79" w14:textId="77777777" w:rsidR="0071413B" w:rsidRPr="00F25304" w:rsidRDefault="006268D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FD443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62,9</w:t>
            </w:r>
          </w:p>
        </w:tc>
      </w:tr>
      <w:tr w:rsidR="0071413B" w:rsidRPr="00F25304" w14:paraId="6F861C1E" w14:textId="77777777" w:rsidTr="00623F1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DD746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787E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32800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28AF9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A5FC7" w14:textId="77777777" w:rsidR="0071413B" w:rsidRPr="00F25304" w:rsidRDefault="006268D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92FA8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71413B" w:rsidRPr="00F25304" w14:paraId="49244B8F" w14:textId="77777777" w:rsidTr="00623F1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18DCF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9E8AE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05B09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163F9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54377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F761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613A63"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</w:tr>
      <w:tr w:rsidR="0071413B" w:rsidRPr="00F25304" w14:paraId="2D8355AE" w14:textId="77777777" w:rsidTr="00623F1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38897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BC1F4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C70D9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623269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D077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E5BC5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</w:t>
            </w:r>
          </w:p>
        </w:tc>
      </w:tr>
      <w:tr w:rsidR="0071413B" w:rsidRPr="00F25304" w14:paraId="3E956B50" w14:textId="77777777" w:rsidTr="00623F1B">
        <w:trPr>
          <w:trHeight w:val="2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AC822" w14:textId="77777777" w:rsidR="0071413B" w:rsidRPr="00F25304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C849C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840B9" w14:textId="77777777" w:rsidR="0071413B" w:rsidRPr="00F25304" w:rsidRDefault="0071413B" w:rsidP="0071413B">
            <w:pPr>
              <w:spacing w:after="0" w:line="240" w:lineRule="auto"/>
              <w:ind w:left="2110" w:right="-1728" w:hanging="4320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       </w:t>
            </w:r>
            <w:r w:rsidR="00757578"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7A9D5" w14:textId="77777777" w:rsidR="0071413B" w:rsidRPr="00F25304" w:rsidRDefault="00F25304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B4C2A" w14:textId="77777777" w:rsidR="0071413B" w:rsidRPr="00F25304" w:rsidRDefault="0071413B" w:rsidP="0071413B">
            <w:pPr>
              <w:spacing w:after="0" w:line="240" w:lineRule="auto"/>
              <w:ind w:left="2110" w:right="-1728" w:hanging="4320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       </w:t>
            </w:r>
            <w:r w:rsidR="00613A63"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59D6D" w14:textId="77777777" w:rsidR="0071413B" w:rsidRPr="00F25304" w:rsidRDefault="00F25304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-0,3</w:t>
            </w:r>
          </w:p>
        </w:tc>
      </w:tr>
      <w:tr w:rsidR="0071413B" w:rsidRPr="00F25304" w14:paraId="40A1D5E4" w14:textId="77777777" w:rsidTr="00623F1B">
        <w:trPr>
          <w:trHeight w:val="18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2BAB3" w14:textId="77777777" w:rsidR="0071413B" w:rsidRPr="00F25304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12850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46340" w14:textId="77777777" w:rsidR="0071413B" w:rsidRPr="00F25304" w:rsidRDefault="004B1300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04E2A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378C6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D23C4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-1,0</w:t>
            </w:r>
          </w:p>
        </w:tc>
      </w:tr>
      <w:tr w:rsidR="0071413B" w:rsidRPr="00F25304" w14:paraId="70FA58EC" w14:textId="77777777" w:rsidTr="00623F1B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774CE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Неналоговые доходы, </w:t>
            </w:r>
            <w:r w:rsidRPr="00F253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т.ч.:</w:t>
            </w: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8C8AC" w14:textId="77777777" w:rsidR="0071413B" w:rsidRPr="00F25304" w:rsidRDefault="0096146F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72D0C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818E7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00CFD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3328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</w:tr>
      <w:tr w:rsidR="0071413B" w:rsidRPr="00F25304" w14:paraId="112439E4" w14:textId="77777777" w:rsidTr="00623F1B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25C4E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в </w:t>
            </w: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BFEDE" w14:textId="77777777" w:rsidR="0071413B" w:rsidRPr="00F25304" w:rsidRDefault="00B92091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D5F05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30A85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789FF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5FB3E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71413B" w:rsidRPr="00F25304" w14:paraId="5A530D2E" w14:textId="77777777" w:rsidTr="00623F1B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D946E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0712" w14:textId="77777777" w:rsidR="0071413B" w:rsidRPr="00F25304" w:rsidRDefault="0096146F" w:rsidP="0071413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6 808,0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FFF7A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6 808,0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8BF2A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A91EB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6 186,7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C87D0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621,3</w:t>
            </w:r>
          </w:p>
        </w:tc>
      </w:tr>
      <w:tr w:rsidR="0071413B" w:rsidRPr="00F25304" w14:paraId="7BAE4329" w14:textId="77777777" w:rsidTr="00623F1B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76A7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DAF72" w14:textId="77777777" w:rsidR="0071413B" w:rsidRPr="00F25304" w:rsidRDefault="0096146F" w:rsidP="0071413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08CE5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9F6EC" w14:textId="77777777" w:rsidR="0071413B" w:rsidRPr="00F2530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28B63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0BA9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71413B" w:rsidRPr="00F25304" w14:paraId="319D04CC" w14:textId="77777777" w:rsidTr="00623F1B">
        <w:trPr>
          <w:trHeight w:val="3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363E5" w14:textId="77777777" w:rsidR="0071413B" w:rsidRPr="00F2530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C2688" w14:textId="77777777" w:rsidR="0071413B" w:rsidRPr="00F25304" w:rsidRDefault="0096146F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ED6D2" w14:textId="77777777" w:rsidR="0071413B" w:rsidRPr="00F25304" w:rsidRDefault="0075757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3FE98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AF1ED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FC95F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6268D1" w:rsidRPr="00F2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556,3</w:t>
            </w:r>
          </w:p>
        </w:tc>
      </w:tr>
      <w:tr w:rsidR="0071413B" w:rsidRPr="006C084D" w14:paraId="1962B3DE" w14:textId="77777777" w:rsidTr="00623F1B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DE44B" w14:textId="16E7B848" w:rsidR="0071413B" w:rsidRPr="00F25304" w:rsidRDefault="007C08AD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BF773" w14:textId="77777777" w:rsidR="0071413B" w:rsidRPr="00F25304" w:rsidRDefault="0096146F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6 964,5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0C753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6 971,4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B9F1C" w14:textId="77777777" w:rsidR="0071413B" w:rsidRPr="00F25304" w:rsidRDefault="007C409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3B4A2" w14:textId="77777777" w:rsidR="0071413B" w:rsidRPr="00F25304" w:rsidRDefault="00613A63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6 286,2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5A548" w14:textId="77777777" w:rsidR="0071413B" w:rsidRPr="00F25304" w:rsidRDefault="00F011E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842846" w:rsidRPr="00F253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685,2</w:t>
            </w:r>
          </w:p>
        </w:tc>
      </w:tr>
    </w:tbl>
    <w:p w14:paraId="7A9B1706" w14:textId="77777777" w:rsidR="0071413B" w:rsidRPr="006C084D" w:rsidRDefault="0071413B" w:rsidP="007141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CF370B" w14:textId="160A162E" w:rsidR="0071413B" w:rsidRPr="00203637" w:rsidRDefault="006C084D" w:rsidP="0047250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7C08AD" w:rsidRPr="006C08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 бюджета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6C0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разрезе основных групп доходов.</w:t>
      </w:r>
    </w:p>
    <w:p w14:paraId="6A7F7031" w14:textId="77777777" w:rsidR="0071413B" w:rsidRPr="00203637" w:rsidRDefault="006C084D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71413B"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Налоговые доходы</w:t>
      </w:r>
    </w:p>
    <w:p w14:paraId="360007C7" w14:textId="05EE09F7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доходной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бюджета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</w:t>
      </w:r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62F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основным налоговым поступлениям за 2022 год выглядит следующим образом:</w:t>
      </w:r>
    </w:p>
    <w:p w14:paraId="3A37406C" w14:textId="77777777" w:rsidR="0071413B" w:rsidRPr="001201C2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</w:t>
      </w:r>
      <w:r w:rsidR="006C084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доходы физических лиц </w:t>
      </w:r>
      <w:r w:rsidR="006C084D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(60,52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структуре исполненных налоговых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доходов) исполнен в сумме 92,0 тыс. руб. или на 108,23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назначений, в сравнении с предыдущим отчетным периодом увеличил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 поступления </w:t>
      </w:r>
      <w:r w:rsidR="00472508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147,4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что обусловлено с индексацией заработной платы;</w:t>
      </w:r>
    </w:p>
    <w:p w14:paraId="74AF54FC" w14:textId="77777777" w:rsidR="0071413B" w:rsidRPr="001201C2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акцизы по подакцизным товарам, производимым на террит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Российской Федерации (</w:t>
      </w:r>
      <w:r w:rsidR="005B4AD4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38,4</w:t>
      </w:r>
      <w:r w:rsidR="001201C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структуре исполненных налоговых доходов) исполнен 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58,4 тыс. руб. или 100,58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7A288A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поступление увеличилось 245,37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14:paraId="055C3B04" w14:textId="77777777" w:rsidR="0071413B" w:rsidRPr="001201C2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201C2">
        <w:rPr>
          <w:rFonts w:ascii="Times New Roman" w:eastAsia="Times New Roman" w:hAnsi="Times New Roman" w:cs="Arial"/>
          <w:sz w:val="28"/>
          <w:szCs w:val="28"/>
          <w:lang w:eastAsia="ru-RU"/>
        </w:rPr>
        <w:t> налог на имущество физических лиц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72508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«минус» 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структуре исполненных налогов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доходов) исполнен в сумме </w:t>
      </w:r>
      <w:r w:rsidR="00472508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«минус» 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 или</w:t>
      </w:r>
      <w:r w:rsidR="001201C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«минус»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</w:t>
      </w:r>
      <w:r w:rsidR="00472508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2021 год</w:t>
      </w:r>
      <w:r w:rsidR="009D12A2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поступления уменьшилось на </w:t>
      </w:r>
      <w:r w:rsidR="00F25304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3E50B87C" w14:textId="77777777" w:rsidR="0071413B" w:rsidRPr="00203637" w:rsidRDefault="009D12A2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налог (</w:t>
      </w:r>
      <w:r w:rsidR="00F25304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>1,17</w:t>
      </w:r>
      <w:r w:rsidR="0071413B" w:rsidRPr="0012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структуре исп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олненных налогов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доходов) исполнен в сумме 1,8 тыс. руб. или на 90,00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назначений, по отношению к 2021 год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поступления уменьшилось на 1,0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14:paraId="39C23115" w14:textId="77777777" w:rsidR="0071413B" w:rsidRPr="00472508" w:rsidRDefault="0071413B" w:rsidP="0047250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Неналоговые доходы</w:t>
      </w:r>
    </w:p>
    <w:p w14:paraId="69E1C9C5" w14:textId="2183D2F0" w:rsidR="0071413B" w:rsidRPr="00203637" w:rsidRDefault="0071413B" w:rsidP="004725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от использования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государственной и м</w:t>
      </w:r>
      <w:r w:rsidR="009D12A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собственности (100,00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структуре неналоговы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доходов) исполнены в сумме 11,4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на 100,00 % от плановых назначений. В сравнении с предыдущим отчетным периодом увел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ичение поступлений составило 1,0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(сдача в аренду иму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 казны, сдавался трактор ВЗТ-75</w:t>
      </w:r>
      <w:r w:rsidR="00472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08F59EA0" w14:textId="77777777" w:rsidR="00623F1B" w:rsidRDefault="00623F1B" w:rsidP="00A44E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D1CA8D" w14:textId="77777777" w:rsidR="00623F1B" w:rsidRDefault="00623F1B" w:rsidP="00A44E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4FF0DA" w14:textId="77777777" w:rsidR="00623F1B" w:rsidRDefault="00623F1B" w:rsidP="00A44E7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66DED" w14:textId="70544109" w:rsidR="0071413B" w:rsidRPr="00203637" w:rsidRDefault="0071413B" w:rsidP="00A44E7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Безвозмездные поступления</w:t>
      </w:r>
    </w:p>
    <w:p w14:paraId="0FB3CB08" w14:textId="43ED0C5C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доходную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бюджета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след</w:t>
      </w:r>
      <w:r w:rsidR="006C084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ующие безвозмездные поступления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дотаций и иных межбюджетных трансфертов:</w:t>
      </w:r>
    </w:p>
    <w:p w14:paraId="7F80B2A4" w14:textId="0AFF2FCB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дотации бюджетам бюджетной системы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в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</w:t>
      </w:r>
      <w:r w:rsidR="00FC25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й сумме 2 348,5 тыс. руб. (33,68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в структуре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исполнены на 100,00 % от прогнозных назначений;</w:t>
      </w:r>
    </w:p>
    <w:p w14:paraId="07523B63" w14:textId="0528A5C6" w:rsidR="0071413B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в</w:t>
      </w:r>
      <w:r w:rsidR="007A2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4 459,5 тыс. руб. (63,96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структуре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которые исполнены на 10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>0,00 % от прогнозных назначений.</w:t>
      </w:r>
    </w:p>
    <w:p w14:paraId="78BCF78A" w14:textId="77777777" w:rsidR="00D70516" w:rsidRPr="00203637" w:rsidRDefault="00D70516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715A47" w14:textId="5D3C2C08" w:rsidR="0071413B" w:rsidRPr="00203637" w:rsidRDefault="0071413B" w:rsidP="0071413B">
      <w:pPr>
        <w:spacing w:before="120" w:after="120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7C08AD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 бюджета</w:t>
      </w:r>
      <w:r w:rsidR="00E01AE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расходам</w:t>
      </w:r>
    </w:p>
    <w:p w14:paraId="0BA11410" w14:textId="36FE4632" w:rsidR="0071413B" w:rsidRPr="00203637" w:rsidRDefault="0071413B" w:rsidP="0071413B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Анализ плановых показателей </w:t>
      </w:r>
      <w:r w:rsidR="007C08AD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расходов бюджета</w:t>
      </w:r>
      <w:r w:rsidR="00E01AE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</w:p>
    <w:p w14:paraId="3D8B5B1E" w14:textId="2F14E260" w:rsidR="0071413B" w:rsidRPr="00203637" w:rsidRDefault="0071413B" w:rsidP="00714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первоначальной редакции Решения о бюджете </w:t>
      </w:r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2022 год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 был утвержден по расходам в сумме 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6 773,8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 руб. В течение отчетного периода в </w:t>
      </w:r>
      <w:r w:rsidR="007C08AD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бюджета</w:t>
      </w:r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четыре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раза вносились изменения. В результате внесенных изменений </w:t>
      </w:r>
      <w:r w:rsidR="007C08AD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бюджета</w:t>
      </w:r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2022 год были утверждены в сумме </w:t>
      </w:r>
      <w:r w:rsidR="00E01AE3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7 231,1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14:paraId="2633554F" w14:textId="6291331A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Объемы и структура </w:t>
      </w:r>
      <w:r w:rsidR="007C08AD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 бюджета</w:t>
      </w:r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поселка </w:t>
      </w:r>
      <w:proofErr w:type="spellStart"/>
      <w:r w:rsidR="00E01AE3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утвержденные Решением о бюджете на 2022 год </w:t>
      </w:r>
      <w:r w:rsidR="00291504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первоначальной редакции (от 15.12.2021 №52) и изменениями в него (от 19.12.2022 №27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по разделам классификации расходов бюджета представлены в таблице №4.      </w:t>
      </w:r>
    </w:p>
    <w:p w14:paraId="1A5C6F26" w14:textId="6A3F1F22" w:rsidR="0071413B" w:rsidRPr="00FC25AD" w:rsidRDefault="0071413B" w:rsidP="0071413B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="00F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Pr="00F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Таблица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26"/>
        <w:gridCol w:w="1842"/>
        <w:gridCol w:w="1701"/>
        <w:gridCol w:w="1134"/>
        <w:gridCol w:w="1134"/>
      </w:tblGrid>
      <w:tr w:rsidR="0071413B" w:rsidRPr="0071413B" w14:paraId="752D03B8" w14:textId="77777777" w:rsidTr="00623F1B">
        <w:trPr>
          <w:trHeight w:val="845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20C82A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раздела классификации расходов бюджетов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FABD869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proofErr w:type="spellStart"/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9A163A" w14:textId="77777777" w:rsidR="0071413B" w:rsidRPr="005B4AD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  <w:p w14:paraId="68538011" w14:textId="77777777" w:rsidR="0071413B" w:rsidRPr="005B4AD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о бюджете</w:t>
            </w:r>
          </w:p>
          <w:p w14:paraId="49E141B7" w14:textId="740153BF" w:rsidR="00D70516" w:rsidRPr="005B4AD4" w:rsidRDefault="00291504" w:rsidP="0062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52</w:t>
            </w:r>
            <w:r w:rsidR="00FC25AD"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B4AD4"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15.12.2021</w:t>
            </w:r>
          </w:p>
          <w:p w14:paraId="61A2F839" w14:textId="77777777" w:rsidR="0071413B" w:rsidRPr="005B4AD4" w:rsidRDefault="0071413B" w:rsidP="00FC2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198E61" w14:textId="77777777" w:rsidR="0071413B" w:rsidRPr="005B4AD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  <w:p w14:paraId="2377F9C1" w14:textId="77777777" w:rsidR="0071413B" w:rsidRPr="005B4AD4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о бюджете</w:t>
            </w:r>
          </w:p>
          <w:p w14:paraId="5C509A97" w14:textId="1F564CD6" w:rsidR="00D70516" w:rsidRPr="005B4AD4" w:rsidRDefault="00291504" w:rsidP="0062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27</w:t>
            </w:r>
            <w:r w:rsidR="00623F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B4AD4"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19.12.2022</w:t>
            </w:r>
          </w:p>
          <w:p w14:paraId="1B478AD1" w14:textId="77777777" w:rsidR="0071413B" w:rsidRPr="005B4AD4" w:rsidRDefault="00FC25AD" w:rsidP="00A44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413B" w:rsidRPr="005B4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A54659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изменений</w:t>
            </w:r>
          </w:p>
          <w:p w14:paraId="398896AE" w14:textId="77777777" w:rsidR="0071413B" w:rsidRDefault="00D70516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A44E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гр.4-гр.3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14:paraId="48095C97" w14:textId="77777777" w:rsidR="00A44E7C" w:rsidRPr="00FC25AD" w:rsidRDefault="00D70516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31DC5B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изменений</w:t>
            </w:r>
          </w:p>
          <w:p w14:paraId="55DF5E2F" w14:textId="77777777" w:rsidR="0071413B" w:rsidRPr="00FC25AD" w:rsidRDefault="00D70516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</w:tr>
      <w:tr w:rsidR="0071413B" w:rsidRPr="0071413B" w14:paraId="3D849634" w14:textId="77777777" w:rsidTr="00623F1B">
        <w:trPr>
          <w:trHeight w:val="135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9118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F2B3E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EE73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A6E3F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430C5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FACCB" w14:textId="77777777" w:rsidR="0071413B" w:rsidRPr="00D70516" w:rsidRDefault="00A44E7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71413B" w14:paraId="6A1D3E3B" w14:textId="77777777" w:rsidTr="00623F1B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283140C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19A4CAF5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20ACE20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4 689,0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929982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4 815,7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A18020B" w14:textId="77777777" w:rsidR="0071413B" w:rsidRPr="00FC25AD" w:rsidRDefault="00A44E7C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91504"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6133677" w14:textId="77777777" w:rsidR="0071413B" w:rsidRPr="005B4AD4" w:rsidRDefault="00D70516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22FB7"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</w:t>
            </w:r>
          </w:p>
        </w:tc>
      </w:tr>
      <w:tr w:rsidR="0071413B" w:rsidRPr="0071413B" w14:paraId="7CA1267A" w14:textId="77777777" w:rsidTr="00623F1B">
        <w:trPr>
          <w:trHeight w:val="431"/>
        </w:trPr>
        <w:tc>
          <w:tcPr>
            <w:tcW w:w="3402" w:type="dxa"/>
            <w:shd w:val="clear" w:color="auto" w:fill="auto"/>
          </w:tcPr>
          <w:p w14:paraId="7EE956D0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</w:tcPr>
          <w:p w14:paraId="58B473A7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</w:tcPr>
          <w:p w14:paraId="1DC5C4E2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701" w:type="dxa"/>
            <w:shd w:val="clear" w:color="auto" w:fill="auto"/>
          </w:tcPr>
          <w:p w14:paraId="471EC534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134" w:type="dxa"/>
            <w:shd w:val="clear" w:color="auto" w:fill="auto"/>
          </w:tcPr>
          <w:p w14:paraId="02803117" w14:textId="77777777" w:rsidR="0071413B" w:rsidRPr="00FC25AD" w:rsidRDefault="00222FB7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91504"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134" w:type="dxa"/>
            <w:shd w:val="clear" w:color="auto" w:fill="auto"/>
          </w:tcPr>
          <w:p w14:paraId="0AE7E0A1" w14:textId="77777777" w:rsidR="0071413B" w:rsidRPr="005B4AD4" w:rsidRDefault="00222FB7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-30,46</w:t>
            </w:r>
          </w:p>
        </w:tc>
      </w:tr>
      <w:tr w:rsidR="0071413B" w:rsidRPr="0071413B" w14:paraId="1BB33E9E" w14:textId="77777777" w:rsidTr="00623F1B">
        <w:trPr>
          <w:trHeight w:val="274"/>
        </w:trPr>
        <w:tc>
          <w:tcPr>
            <w:tcW w:w="3402" w:type="dxa"/>
          </w:tcPr>
          <w:p w14:paraId="4D4E0AAD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</w:tcPr>
          <w:p w14:paraId="45FC5CD9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2" w:type="dxa"/>
          </w:tcPr>
          <w:p w14:paraId="7D82CE0A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  <w:tc>
          <w:tcPr>
            <w:tcW w:w="1701" w:type="dxa"/>
          </w:tcPr>
          <w:p w14:paraId="1E275457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362,8</w:t>
            </w:r>
          </w:p>
        </w:tc>
        <w:tc>
          <w:tcPr>
            <w:tcW w:w="1134" w:type="dxa"/>
          </w:tcPr>
          <w:p w14:paraId="65DB4713" w14:textId="77777777" w:rsidR="0071413B" w:rsidRPr="00FC25AD" w:rsidRDefault="00A44E7C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91504"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</w:tcPr>
          <w:p w14:paraId="284289F5" w14:textId="77777777" w:rsidR="0071413B" w:rsidRPr="005B4AD4" w:rsidRDefault="00D70516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22FB7"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21,29</w:t>
            </w:r>
          </w:p>
        </w:tc>
      </w:tr>
      <w:tr w:rsidR="0071413B" w:rsidRPr="0071413B" w14:paraId="162879F7" w14:textId="77777777" w:rsidTr="00623F1B">
        <w:trPr>
          <w:trHeight w:val="243"/>
        </w:trPr>
        <w:tc>
          <w:tcPr>
            <w:tcW w:w="3402" w:type="dxa"/>
          </w:tcPr>
          <w:p w14:paraId="4675F93B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</w:tcPr>
          <w:p w14:paraId="36E7315D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2" w:type="dxa"/>
          </w:tcPr>
          <w:p w14:paraId="5E5D89F6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1 198,9</w:t>
            </w:r>
          </w:p>
        </w:tc>
        <w:tc>
          <w:tcPr>
            <w:tcW w:w="1701" w:type="dxa"/>
          </w:tcPr>
          <w:p w14:paraId="45827FA7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1 531,9</w:t>
            </w:r>
          </w:p>
        </w:tc>
        <w:tc>
          <w:tcPr>
            <w:tcW w:w="1134" w:type="dxa"/>
          </w:tcPr>
          <w:p w14:paraId="3A6808FA" w14:textId="77777777" w:rsidR="0071413B" w:rsidRPr="00FC25AD" w:rsidRDefault="00A44E7C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91504"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134" w:type="dxa"/>
          </w:tcPr>
          <w:p w14:paraId="442D3A75" w14:textId="77777777" w:rsidR="0071413B" w:rsidRPr="005B4AD4" w:rsidRDefault="00D70516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222FB7"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27,77</w:t>
            </w:r>
          </w:p>
        </w:tc>
      </w:tr>
      <w:tr w:rsidR="0071413B" w:rsidRPr="0071413B" w14:paraId="6C0CDA0F" w14:textId="77777777" w:rsidTr="00623F1B">
        <w:tc>
          <w:tcPr>
            <w:tcW w:w="3402" w:type="dxa"/>
            <w:shd w:val="clear" w:color="auto" w:fill="auto"/>
          </w:tcPr>
          <w:p w14:paraId="29DBBBF1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РФ </w:t>
            </w:r>
          </w:p>
        </w:tc>
        <w:tc>
          <w:tcPr>
            <w:tcW w:w="426" w:type="dxa"/>
            <w:shd w:val="clear" w:color="auto" w:fill="auto"/>
          </w:tcPr>
          <w:p w14:paraId="6DC5E3C4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14:paraId="5BBFC086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701" w:type="dxa"/>
            <w:shd w:val="clear" w:color="auto" w:fill="auto"/>
          </w:tcPr>
          <w:p w14:paraId="6649CB4A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134" w:type="dxa"/>
            <w:shd w:val="clear" w:color="auto" w:fill="auto"/>
          </w:tcPr>
          <w:p w14:paraId="3808C454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3609A50" w14:textId="77777777" w:rsidR="0071413B" w:rsidRPr="005B4AD4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1413B" w:rsidRPr="0071413B" w14:paraId="08E7E3A8" w14:textId="77777777" w:rsidTr="00623F1B">
        <w:tc>
          <w:tcPr>
            <w:tcW w:w="3402" w:type="dxa"/>
            <w:shd w:val="clear" w:color="auto" w:fill="auto"/>
          </w:tcPr>
          <w:p w14:paraId="441659F9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426" w:type="dxa"/>
            <w:shd w:val="clear" w:color="auto" w:fill="auto"/>
          </w:tcPr>
          <w:p w14:paraId="28868E49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D0D3E6A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6 773,8</w:t>
            </w:r>
          </w:p>
        </w:tc>
        <w:tc>
          <w:tcPr>
            <w:tcW w:w="1701" w:type="dxa"/>
            <w:shd w:val="clear" w:color="auto" w:fill="auto"/>
          </w:tcPr>
          <w:p w14:paraId="102055AE" w14:textId="77777777" w:rsidR="0071413B" w:rsidRPr="00FC25AD" w:rsidRDefault="0029150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1134" w:type="dxa"/>
            <w:shd w:val="clear" w:color="auto" w:fill="auto"/>
          </w:tcPr>
          <w:p w14:paraId="4383C0A3" w14:textId="77777777" w:rsidR="0071413B" w:rsidRPr="00FC25AD" w:rsidRDefault="00A44E7C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222FB7"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457,3</w:t>
            </w:r>
          </w:p>
        </w:tc>
        <w:tc>
          <w:tcPr>
            <w:tcW w:w="1134" w:type="dxa"/>
            <w:shd w:val="clear" w:color="auto" w:fill="auto"/>
          </w:tcPr>
          <w:p w14:paraId="3082118C" w14:textId="77777777" w:rsidR="0071413B" w:rsidRPr="005B4AD4" w:rsidRDefault="00D70516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222FB7"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6,75</w:t>
            </w:r>
          </w:p>
        </w:tc>
      </w:tr>
    </w:tbl>
    <w:p w14:paraId="4315558F" w14:textId="77777777" w:rsidR="0071413B" w:rsidRPr="0071413B" w:rsidRDefault="0071413B" w:rsidP="0071413B">
      <w:pPr>
        <w:spacing w:after="0" w:line="286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4802B43" w14:textId="77777777" w:rsidR="0071413B" w:rsidRPr="00203637" w:rsidRDefault="0071413B" w:rsidP="0071413B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 изменений, внесенных в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бюджете на 2022 год, 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показал следующее.</w:t>
      </w:r>
    </w:p>
    <w:p w14:paraId="64087AC9" w14:textId="77777777" w:rsidR="0071413B" w:rsidRPr="00203637" w:rsidRDefault="0071413B" w:rsidP="0071413B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Редакциями изменений в Решение о бюджете на 2022 год изменения внесены по 4 из 5 разделам расходо</w:t>
      </w:r>
      <w:r w:rsidR="00222FB7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в бюджета на общую сумму 457,3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 разделу 14 «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Межбюджетные трансферты общего характера бюджетам бюджетной системы РФ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» изменения не вносились.</w:t>
      </w:r>
    </w:p>
    <w:p w14:paraId="345B5BDE" w14:textId="28A59808" w:rsidR="0071413B" w:rsidRPr="00203637" w:rsidRDefault="0071413B" w:rsidP="0071413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Увеличение </w:t>
      </w:r>
      <w:r w:rsidR="007C08A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расходов бюджета</w:t>
      </w:r>
      <w:r w:rsidR="00222FB7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поселка </w:t>
      </w:r>
      <w:proofErr w:type="spellStart"/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сложилось по таким разделам как:</w:t>
      </w:r>
    </w:p>
    <w:p w14:paraId="2FE02E3D" w14:textId="138DFB82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«Н</w:t>
      </w:r>
      <w:r w:rsidR="00222FB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ациональная экономика» на 63,7 тыс. руб. или 21,29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(в основном по причине увеличения расходов на содержание и ремонт автомобильных дорог общего пользования местного значения, </w:t>
      </w:r>
      <w:proofErr w:type="spellStart"/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авиаплощадок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65AA4CA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«Общегос</w:t>
      </w:r>
      <w:r w:rsidR="004B546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ударственные вопросы» на 126,7 тыс. руб. или 2,70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(по причине увеличения непрограммных расходов, в том числе расходов на выплату персоналу, а также увеличения расходов на закупку товаров, работ и услуг для обеспечения государственных (муниципальных) нужд.);</w:t>
      </w:r>
    </w:p>
    <w:p w14:paraId="1E70AFED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«Жилищно-комм</w:t>
      </w:r>
      <w:r w:rsidR="004B546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унальное хозяйство» на 333,0 тыс. руб. или 27,77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(по причине увеличения расходов на закупку товаров, работ и услуг для обеспечения государственных</w:t>
      </w:r>
      <w:r w:rsidR="004B546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(муниципальных) нужд, строительство и ремонт тротуаров, контейнеры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ТКО). </w:t>
      </w:r>
    </w:p>
    <w:p w14:paraId="510F2670" w14:textId="19967A54" w:rsidR="0071413B" w:rsidRPr="00623F1B" w:rsidRDefault="004C39BD" w:rsidP="00623F1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Уменьшение </w:t>
      </w:r>
      <w:r w:rsidR="00623F1B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расходов бюджета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D70516">
        <w:rPr>
          <w:rFonts w:ascii="Times New Roman" w:eastAsia="Calibri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D705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сложилось </w:t>
      </w:r>
      <w:r w:rsidR="00623F1B">
        <w:rPr>
          <w:rFonts w:ascii="Times New Roman" w:eastAsia="Calibri" w:hAnsi="Times New Roman" w:cs="Times New Roman"/>
          <w:sz w:val="28"/>
          <w:szCs w:val="28"/>
          <w:lang w:eastAsia="ru-RU"/>
        </w:rPr>
        <w:t>по разделу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«Национальная безопасность и правоохранительная деятельность» на</w:t>
      </w:r>
      <w:r w:rsidR="00C807E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66,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тыс. руб. или </w:t>
      </w:r>
      <w:r w:rsidR="00C807E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30,46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% (по причине уменьшение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по содержанию минерализованной полосы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D427ACB" w14:textId="77777777" w:rsidR="0071413B" w:rsidRDefault="0071413B" w:rsidP="007141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сводную бюджетную роспись регулировалось положениями п. 3 ст. 217 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БК РФ. С учетом изменений, расхо</w:t>
      </w:r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ды  бюджета поселка </w:t>
      </w:r>
      <w:proofErr w:type="spellStart"/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утвержденные сводной бюджетной росписью, с учетом последующих изменений, оформленных в установленном порядке на отчетную дату, составили </w:t>
      </w:r>
      <w:r w:rsidR="004C39B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7 231,1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руб., что соответствует общему объему расход</w:t>
      </w:r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 бюджета поселка </w:t>
      </w:r>
      <w:proofErr w:type="spellStart"/>
      <w:r w:rsidR="004C39BD"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утвержденного Решением о бюджете на 2022 год.</w:t>
      </w:r>
    </w:p>
    <w:p w14:paraId="0A6D8B00" w14:textId="77777777" w:rsidR="00D70516" w:rsidRPr="00203637" w:rsidRDefault="00D70516" w:rsidP="007141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7A3CE5" w14:textId="51FF832D" w:rsidR="0071413B" w:rsidRPr="00203637" w:rsidRDefault="0071413B" w:rsidP="0071413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Анализ исполнения </w:t>
      </w:r>
      <w:r w:rsidR="007C08AD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расходов бюджета</w:t>
      </w:r>
      <w:r w:rsidR="001E5FC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поселка </w:t>
      </w:r>
      <w:proofErr w:type="spellStart"/>
      <w:r w:rsidR="001E5FC3"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</w:p>
    <w:p w14:paraId="177ED205" w14:textId="5689A45A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показатели сводной бюджетной на 2022 год по состоянию на 30.12.2022 года б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>ыли установлены в сумме 7 231,1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кассовые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</w:t>
      </w:r>
      <w:r w:rsidR="007C08AD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бюджета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плановыми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показателями исполнены на 92,09 % или в сумме 6 659,7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числе:</w:t>
      </w:r>
    </w:p>
    <w:p w14:paraId="774BBF76" w14:textId="77777777" w:rsidR="0071413B" w:rsidRPr="005B4AD4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="005B4AD4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программным расходам на 1 825,9 тыс. руб. (27,42</w:t>
      </w:r>
      <w:r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2FFD142B" w14:textId="77777777" w:rsidR="0071413B" w:rsidRPr="005B4AD4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н</w:t>
      </w:r>
      <w:r w:rsidR="005B4AD4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епрограммным расходам на 4 833,8 тыс. руб. (72,58</w:t>
      </w:r>
      <w:r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14:paraId="1AFB8AAB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 исполнении кассовых расходов по отношению к показателям, установленным сводной бюджетной росписью по разделам классификации расходов, представлены в таблице 5.</w:t>
      </w:r>
    </w:p>
    <w:p w14:paraId="3F037BD1" w14:textId="77777777" w:rsidR="00D70516" w:rsidRDefault="00D70516" w:rsidP="0071413B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B1D586" w14:textId="77777777" w:rsidR="00D70516" w:rsidRDefault="00D70516" w:rsidP="0071413B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92BED" w14:textId="77777777" w:rsidR="0071413B" w:rsidRPr="00203637" w:rsidRDefault="0071413B" w:rsidP="0071413B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6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1843"/>
        <w:gridCol w:w="1276"/>
        <w:gridCol w:w="1417"/>
        <w:gridCol w:w="1134"/>
      </w:tblGrid>
      <w:tr w:rsidR="0071413B" w:rsidRPr="0071413B" w14:paraId="4090576A" w14:textId="77777777" w:rsidTr="002829BB">
        <w:trPr>
          <w:trHeight w:val="804"/>
        </w:trPr>
        <w:tc>
          <w:tcPr>
            <w:tcW w:w="3402" w:type="dxa"/>
            <w:shd w:val="clear" w:color="auto" w:fill="auto"/>
            <w:vAlign w:val="center"/>
            <w:hideMark/>
          </w:tcPr>
          <w:p w14:paraId="6FF7106A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743DB33B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11E108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Плановые ассигнования по бюджетной росписи</w:t>
            </w:r>
          </w:p>
          <w:p w14:paraId="0EF2E0D4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A7CE4E" w14:textId="77777777" w:rsid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Кассовое исполнение </w:t>
            </w:r>
          </w:p>
          <w:p w14:paraId="3EA23D09" w14:textId="40ED1A40" w:rsidR="0071413B" w:rsidRPr="00FC25AD" w:rsidRDefault="0071413B" w:rsidP="00D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</w:t>
            </w:r>
            <w:r w:rsidR="00DB08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</w:t>
            </w: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0C4CAC" w14:textId="77777777" w:rsidR="0071413B" w:rsidRPr="00FC25AD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(гр.4-гр.3</w:t>
            </w:r>
            <w:r w:rsidR="0071413B"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 (+,-)</w:t>
            </w:r>
          </w:p>
          <w:p w14:paraId="7FE64A7B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9AD91" w14:textId="77777777" w:rsidR="002829BB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% </w:t>
            </w:r>
          </w:p>
          <w:p w14:paraId="40C45562" w14:textId="036324DC" w:rsidR="0071413B" w:rsidRPr="00FC25AD" w:rsidRDefault="0071413B" w:rsidP="007141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исполнения</w:t>
            </w:r>
          </w:p>
          <w:p w14:paraId="470C5E74" w14:textId="77777777" w:rsidR="0071413B" w:rsidRPr="00FC25AD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1413B" w:rsidRPr="0071413B" w14:paraId="0CE26DD7" w14:textId="77777777" w:rsidTr="002829BB">
        <w:trPr>
          <w:trHeight w:val="22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C765E16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14:paraId="6404775D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6410EA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E9AA97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422492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81B3FA" w14:textId="77777777" w:rsidR="0071413B" w:rsidRPr="00D70516" w:rsidRDefault="0007159C" w:rsidP="00D7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05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71413B" w14:paraId="712E8D82" w14:textId="77777777" w:rsidTr="002829BB">
        <w:trPr>
          <w:trHeight w:val="268"/>
        </w:trPr>
        <w:tc>
          <w:tcPr>
            <w:tcW w:w="3402" w:type="dxa"/>
            <w:shd w:val="clear" w:color="auto" w:fill="auto"/>
            <w:hideMark/>
          </w:tcPr>
          <w:p w14:paraId="659C99C9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43C49534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79CB5EB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4 815,7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FBE3E6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4 344,9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6294C5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BF21578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90,22</w:t>
            </w:r>
          </w:p>
        </w:tc>
      </w:tr>
      <w:tr w:rsidR="0071413B" w:rsidRPr="0071413B" w14:paraId="5774B7A4" w14:textId="77777777" w:rsidTr="002829BB">
        <w:trPr>
          <w:trHeight w:val="447"/>
        </w:trPr>
        <w:tc>
          <w:tcPr>
            <w:tcW w:w="3402" w:type="dxa"/>
            <w:shd w:val="clear" w:color="auto" w:fill="auto"/>
            <w:hideMark/>
          </w:tcPr>
          <w:p w14:paraId="21F7AA2A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547E380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EF81F7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5999BF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6C3D5C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77AA766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71413B" w:rsidRPr="0071413B" w14:paraId="1C61FDE7" w14:textId="77777777" w:rsidTr="002829BB">
        <w:trPr>
          <w:trHeight w:val="261"/>
        </w:trPr>
        <w:tc>
          <w:tcPr>
            <w:tcW w:w="3402" w:type="dxa"/>
            <w:shd w:val="clear" w:color="auto" w:fill="auto"/>
            <w:hideMark/>
          </w:tcPr>
          <w:p w14:paraId="33B5E246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63B66D25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8861CD9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0DAD0F" w14:textId="756CEE19" w:rsidR="0071413B" w:rsidRPr="00FC25AD" w:rsidRDefault="00D70516" w:rsidP="00DB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1E5FC3"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3B51ECC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6B45CF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81,03</w:t>
            </w:r>
          </w:p>
        </w:tc>
      </w:tr>
      <w:tr w:rsidR="0071413B" w:rsidRPr="0071413B" w14:paraId="51A479AF" w14:textId="77777777" w:rsidTr="002829BB">
        <w:trPr>
          <w:trHeight w:val="234"/>
        </w:trPr>
        <w:tc>
          <w:tcPr>
            <w:tcW w:w="3402" w:type="dxa"/>
            <w:shd w:val="clear" w:color="auto" w:fill="auto"/>
            <w:hideMark/>
          </w:tcPr>
          <w:p w14:paraId="76564960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6749EC7F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02B176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1 531,9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5EAFDD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1 504,2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8DB3BC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A351647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71413B" w:rsidRPr="0071413B" w14:paraId="71FDBFB1" w14:textId="77777777" w:rsidTr="002829BB">
        <w:trPr>
          <w:trHeight w:val="276"/>
        </w:trPr>
        <w:tc>
          <w:tcPr>
            <w:tcW w:w="3402" w:type="dxa"/>
            <w:shd w:val="clear" w:color="auto" w:fill="auto"/>
            <w:hideMark/>
          </w:tcPr>
          <w:p w14:paraId="2DDD0AE3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67" w:type="dxa"/>
            <w:vAlign w:val="center"/>
          </w:tcPr>
          <w:p w14:paraId="13F777EA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7C0107F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458C5D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26966B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65370D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1413B" w:rsidRPr="0071413B" w14:paraId="5B4F5233" w14:textId="77777777" w:rsidTr="002829BB">
        <w:trPr>
          <w:trHeight w:val="158"/>
        </w:trPr>
        <w:tc>
          <w:tcPr>
            <w:tcW w:w="3402" w:type="dxa"/>
            <w:shd w:val="clear" w:color="auto" w:fill="auto"/>
            <w:hideMark/>
          </w:tcPr>
          <w:p w14:paraId="2EAFDE91" w14:textId="77777777" w:rsidR="0071413B" w:rsidRPr="00FC25AD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</w:tcPr>
          <w:p w14:paraId="2BFA1E7E" w14:textId="77777777" w:rsidR="0071413B" w:rsidRPr="00FC25AD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35709BFE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1276" w:type="dxa"/>
            <w:shd w:val="clear" w:color="auto" w:fill="auto"/>
            <w:noWrap/>
          </w:tcPr>
          <w:p w14:paraId="3C1D3F68" w14:textId="77777777" w:rsidR="0071413B" w:rsidRPr="00FC25AD" w:rsidRDefault="001E5FC3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6 659,7</w:t>
            </w:r>
          </w:p>
        </w:tc>
        <w:tc>
          <w:tcPr>
            <w:tcW w:w="1417" w:type="dxa"/>
            <w:shd w:val="clear" w:color="auto" w:fill="auto"/>
            <w:noWrap/>
          </w:tcPr>
          <w:p w14:paraId="49165458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-571,4</w:t>
            </w:r>
          </w:p>
        </w:tc>
        <w:tc>
          <w:tcPr>
            <w:tcW w:w="1134" w:type="dxa"/>
            <w:shd w:val="clear" w:color="auto" w:fill="auto"/>
            <w:noWrap/>
          </w:tcPr>
          <w:p w14:paraId="78AE8C75" w14:textId="77777777" w:rsidR="0071413B" w:rsidRPr="00FC25AD" w:rsidRDefault="00B82C3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5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92,09</w:t>
            </w:r>
          </w:p>
        </w:tc>
      </w:tr>
    </w:tbl>
    <w:p w14:paraId="0D11455F" w14:textId="77777777" w:rsidR="0071413B" w:rsidRPr="0071413B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A9F14FE" w14:textId="078A508B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неисполненных бюджетных ассигнований, установленных сводной бюдж</w:t>
      </w:r>
      <w:r w:rsidR="001679B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етной росписью, составил 571,4 тыс. руб. или 7,91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что на 0,84 процентных пункта больше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неисполнения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году.</w:t>
      </w:r>
    </w:p>
    <w:p w14:paraId="73F5390D" w14:textId="77777777" w:rsidR="00D70516" w:rsidRDefault="0071413B" w:rsidP="003F6B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неисполнение в основном сложилось из расходов н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национальную экономику 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68,8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C25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егосударственные вопросы 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470,8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руб.</w:t>
      </w:r>
      <w:r w:rsidR="00FC25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национальная безопасность и правоохранительная деятельность 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C25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4,1 тыс. руб., жилищно-коммунальное хозяйство – 27,7 тыс. руб. </w:t>
      </w:r>
    </w:p>
    <w:p w14:paraId="219A8D54" w14:textId="3143825A" w:rsidR="003F6B9F" w:rsidRPr="00203637" w:rsidRDefault="00D70516" w:rsidP="003F6B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3F6B9F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кономия средств по расходам за счет переноса покупки радиостанции на 2023</w:t>
      </w:r>
      <w:r w:rsidR="00DB0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B9F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строительство </w:t>
      </w:r>
      <w:r w:rsidR="00DB087A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тротуар, дорожного</w:t>
      </w:r>
      <w:r w:rsidR="003F6B9F" w:rsidRP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отсутствие предложений от подрядчиков выполнять объем работ за предложенный сметный расчет, уличного освещения, не востребованность резервного фонда.</w:t>
      </w:r>
      <w:r w:rsidR="003F6B9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2C8EAE" w14:textId="3B248BAC" w:rsidR="0071413B" w:rsidRPr="00203637" w:rsidRDefault="00F0655C" w:rsidP="0007159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70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исполненных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показал, что в отчетном финансовом году сохранялась социальная направленность произведенных расходов. Наибольший удельный вес в общем объеме расходов пришёлся на разделы: «Обще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вопросы» - 65,24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87A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%, «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- 22,5</w:t>
      </w:r>
      <w:r w:rsidR="00DB08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«Межбюджетные трансферты общего характера бюджетам бюджетной системы РФ» - 5,55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«Национальная экономика» - </w:t>
      </w:r>
      <w:r w:rsidR="005B4AD4">
        <w:rPr>
          <w:rFonts w:ascii="Times New Roman" w:eastAsia="Times New Roman" w:hAnsi="Times New Roman" w:cs="Times New Roman"/>
          <w:sz w:val="28"/>
          <w:szCs w:val="28"/>
          <w:lang w:eastAsia="ru-RU"/>
        </w:rPr>
        <w:t>4,4</w:t>
      </w:r>
      <w:r w:rsidR="00DB08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«Национальная безопасность и правоох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ранительная деятельность» - 2,20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656A87C5" w14:textId="77777777" w:rsidR="0071413B" w:rsidRPr="00203637" w:rsidRDefault="00191C32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исполнения по четырем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пяти разделов классификации расходов сложился на достаточно высоком уровне и варьируетс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90,22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до 100,00 %.</w:t>
      </w:r>
      <w:r w:rsidR="003F6B9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одному разделу процент классификации расходов сложился   81,03%</w:t>
      </w:r>
    </w:p>
    <w:p w14:paraId="42E7733F" w14:textId="630D4B7A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Аналитическая информация по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исполнению бюджета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ведомственной структуре расходов представлена в таблице 6.</w:t>
      </w:r>
    </w:p>
    <w:p w14:paraId="443D1A31" w14:textId="77777777" w:rsidR="003A4EA8" w:rsidRDefault="003A4EA8" w:rsidP="0071413B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2AFA0" w14:textId="77777777" w:rsidR="0071413B" w:rsidRPr="003F6B9F" w:rsidRDefault="0071413B" w:rsidP="0071413B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B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6</w:t>
      </w:r>
    </w:p>
    <w:tbl>
      <w:tblPr>
        <w:tblW w:w="99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272"/>
        <w:gridCol w:w="1559"/>
        <w:gridCol w:w="1417"/>
        <w:gridCol w:w="1276"/>
        <w:gridCol w:w="1134"/>
        <w:gridCol w:w="1276"/>
      </w:tblGrid>
      <w:tr w:rsidR="0071413B" w:rsidRPr="0071413B" w14:paraId="07F93914" w14:textId="77777777" w:rsidTr="003911AF">
        <w:trPr>
          <w:trHeight w:val="1087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8790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ГАБС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A354B4C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Утвержденные бюджетные назначения с учетом уточнений</w:t>
            </w:r>
          </w:p>
          <w:p w14:paraId="59966DFC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5268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Исполнено</w:t>
            </w:r>
          </w:p>
          <w:p w14:paraId="3C945545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отчету об исполнении бюджета</w:t>
            </w:r>
          </w:p>
          <w:p w14:paraId="21980AB7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CF5E" w14:textId="77777777" w:rsidR="0071413B" w:rsidRPr="003F6B9F" w:rsidRDefault="0071413B" w:rsidP="0071413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(гр.2-гр.1)</w:t>
            </w:r>
          </w:p>
          <w:p w14:paraId="05232E88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(+,-)</w:t>
            </w:r>
          </w:p>
          <w:p w14:paraId="31BCC1AB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81AF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% исполнения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D1C5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Структура (% к общему объему исполнен. расходов)</w:t>
            </w:r>
          </w:p>
        </w:tc>
      </w:tr>
      <w:tr w:rsidR="0071413B" w:rsidRPr="0071413B" w14:paraId="2CCC1B26" w14:textId="77777777" w:rsidTr="00DB087A">
        <w:trPr>
          <w:trHeight w:val="217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64D1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9ABE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2564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5A46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0D51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A6C2" w14:textId="77777777" w:rsidR="0071413B" w:rsidRPr="003F6B9F" w:rsidRDefault="0007159C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71413B" w14:paraId="34B6F50A" w14:textId="77777777" w:rsidTr="00DB087A">
        <w:trPr>
          <w:trHeight w:val="30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CE6" w14:textId="261B798E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="00DB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10F5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52D5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88854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B4E9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49E7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1413B" w:rsidRPr="0071413B" w14:paraId="64A43463" w14:textId="77777777" w:rsidTr="00DB087A">
        <w:trPr>
          <w:trHeight w:val="157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5D77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A074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97680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1013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813D" w14:textId="77777777" w:rsidR="0071413B" w:rsidRPr="003F6B9F" w:rsidRDefault="00191C32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00748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</w:tr>
    </w:tbl>
    <w:p w14:paraId="0A7AB500" w14:textId="77777777" w:rsidR="0071413B" w:rsidRPr="0071413B" w:rsidRDefault="00F0655C" w:rsidP="00714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 xml:space="preserve"> </w:t>
      </w:r>
    </w:p>
    <w:p w14:paraId="207E7E38" w14:textId="5E2E6D71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представленных в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следует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процент исполнения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главного распорядителя бю</w:t>
      </w:r>
      <w:r w:rsidR="00191C3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джетных средств составляет 92,09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2FBCED2E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637">
        <w:rPr>
          <w:rFonts w:ascii="Times New Roman" w:eastAsia="Calibri" w:hAnsi="Times New Roman" w:cs="Times New Roman"/>
          <w:sz w:val="28"/>
          <w:szCs w:val="28"/>
        </w:rPr>
        <w:t>Сведения об исполнении расходов по видам расходов представлены в таблице № 7.</w:t>
      </w:r>
    </w:p>
    <w:p w14:paraId="7DE3D872" w14:textId="558C2DED" w:rsidR="0071413B" w:rsidRPr="003F6B9F" w:rsidRDefault="0071413B" w:rsidP="00714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</w:t>
      </w:r>
      <w:r w:rsidRPr="003F6B9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5"/>
        <w:gridCol w:w="708"/>
        <w:gridCol w:w="1701"/>
        <w:gridCol w:w="1418"/>
        <w:gridCol w:w="1182"/>
        <w:gridCol w:w="1462"/>
      </w:tblGrid>
      <w:tr w:rsidR="0071413B" w:rsidRPr="0071413B" w14:paraId="70449595" w14:textId="77777777" w:rsidTr="00DB087A">
        <w:trPr>
          <w:trHeight w:val="862"/>
          <w:jc w:val="center"/>
        </w:trPr>
        <w:tc>
          <w:tcPr>
            <w:tcW w:w="3355" w:type="dxa"/>
            <w:shd w:val="clear" w:color="auto" w:fill="auto"/>
            <w:vAlign w:val="center"/>
          </w:tcPr>
          <w:p w14:paraId="28F38C58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BDA6C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701" w:type="dxa"/>
          </w:tcPr>
          <w:p w14:paraId="38D71B88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Утвержденные бюджетные назначения с учетом уточнений</w:t>
            </w:r>
          </w:p>
          <w:p w14:paraId="2F47F006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8" w:type="dxa"/>
          </w:tcPr>
          <w:p w14:paraId="75CFD1D2" w14:textId="77777777" w:rsidR="003A4EA8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Исполнено по отчету об исполнении бюджета </w:t>
            </w:r>
          </w:p>
          <w:p w14:paraId="40B1559B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2DFFEF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исполнения</w:t>
            </w:r>
          </w:p>
          <w:p w14:paraId="75C071DA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  <w:tc>
          <w:tcPr>
            <w:tcW w:w="14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CA61D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Структура </w:t>
            </w:r>
          </w:p>
          <w:p w14:paraId="15DD925C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 к общему объему исполнен. расходов)</w:t>
            </w:r>
          </w:p>
        </w:tc>
      </w:tr>
      <w:tr w:rsidR="0071413B" w:rsidRPr="0071413B" w14:paraId="06FD2305" w14:textId="77777777" w:rsidTr="00DB087A">
        <w:trPr>
          <w:trHeight w:val="133"/>
          <w:jc w:val="center"/>
        </w:trPr>
        <w:tc>
          <w:tcPr>
            <w:tcW w:w="3355" w:type="dxa"/>
            <w:shd w:val="clear" w:color="auto" w:fill="auto"/>
            <w:vAlign w:val="center"/>
          </w:tcPr>
          <w:p w14:paraId="122B5DE2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BD582E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0EECB594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14:paraId="29FEB294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B159A01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76C1E1B7" w14:textId="77777777" w:rsidR="0071413B" w:rsidRPr="003F6B9F" w:rsidRDefault="0007159C" w:rsidP="003A4EA8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3F6B9F" w14:paraId="48C7FBEA" w14:textId="77777777" w:rsidTr="00DB087A">
        <w:trPr>
          <w:trHeight w:val="950"/>
          <w:jc w:val="center"/>
        </w:trPr>
        <w:tc>
          <w:tcPr>
            <w:tcW w:w="3355" w:type="dxa"/>
            <w:shd w:val="clear" w:color="auto" w:fill="auto"/>
          </w:tcPr>
          <w:p w14:paraId="38351BE8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7C69BF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14:paraId="07F1B5C2" w14:textId="77777777" w:rsidR="0071413B" w:rsidRPr="003F6B9F" w:rsidRDefault="00CC3FC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3 320,</w:t>
            </w:r>
            <w:r w:rsidR="008D218D"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vAlign w:val="center"/>
          </w:tcPr>
          <w:p w14:paraId="5ED68022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3 043,2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FE7C14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91,63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EEB0266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45,70</w:t>
            </w:r>
          </w:p>
        </w:tc>
      </w:tr>
      <w:tr w:rsidR="0071413B" w:rsidRPr="003F6B9F" w14:paraId="59FB314A" w14:textId="77777777" w:rsidTr="00DB087A">
        <w:trPr>
          <w:trHeight w:val="505"/>
          <w:jc w:val="center"/>
        </w:trPr>
        <w:tc>
          <w:tcPr>
            <w:tcW w:w="3355" w:type="dxa"/>
            <w:shd w:val="clear" w:color="auto" w:fill="auto"/>
          </w:tcPr>
          <w:p w14:paraId="3B181966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932C48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14:paraId="771691E8" w14:textId="77777777" w:rsidR="0071413B" w:rsidRPr="003F6B9F" w:rsidRDefault="00CC3FC8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218D"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375,9</w:t>
            </w:r>
          </w:p>
        </w:tc>
        <w:tc>
          <w:tcPr>
            <w:tcW w:w="1418" w:type="dxa"/>
            <w:vAlign w:val="center"/>
          </w:tcPr>
          <w:p w14:paraId="37E8639F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3 132,1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942ABCB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92,77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DC56D34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47,03</w:t>
            </w:r>
          </w:p>
        </w:tc>
      </w:tr>
      <w:tr w:rsidR="0071413B" w:rsidRPr="003F6B9F" w14:paraId="67EED182" w14:textId="77777777" w:rsidTr="00DB087A">
        <w:trPr>
          <w:trHeight w:val="555"/>
          <w:jc w:val="center"/>
        </w:trPr>
        <w:tc>
          <w:tcPr>
            <w:tcW w:w="3355" w:type="dxa"/>
            <w:shd w:val="clear" w:color="auto" w:fill="auto"/>
          </w:tcPr>
          <w:p w14:paraId="149ED614" w14:textId="77777777" w:rsidR="0071413B" w:rsidRPr="003F6B9F" w:rsidRDefault="00CC3FC8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8769D9" w14:textId="77777777" w:rsidR="0071413B" w:rsidRPr="003F6B9F" w:rsidRDefault="00CC3FC8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14:paraId="61F48697" w14:textId="77777777" w:rsidR="0071413B" w:rsidRPr="003F6B9F" w:rsidRDefault="00E320B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418" w:type="dxa"/>
            <w:vAlign w:val="center"/>
          </w:tcPr>
          <w:p w14:paraId="7CDC4A1C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A140CA9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5E3665DE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1,64</w:t>
            </w:r>
          </w:p>
        </w:tc>
      </w:tr>
      <w:tr w:rsidR="0071413B" w:rsidRPr="003F6B9F" w14:paraId="40B60295" w14:textId="77777777" w:rsidTr="00DB087A">
        <w:trPr>
          <w:jc w:val="center"/>
        </w:trPr>
        <w:tc>
          <w:tcPr>
            <w:tcW w:w="3355" w:type="dxa"/>
            <w:shd w:val="clear" w:color="auto" w:fill="auto"/>
          </w:tcPr>
          <w:p w14:paraId="4FE85C97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34EA12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14:paraId="29046685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418" w:type="dxa"/>
            <w:vAlign w:val="center"/>
          </w:tcPr>
          <w:p w14:paraId="28DDB5B7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C90E633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3DDC1FA0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</w:t>
            </w:r>
          </w:p>
        </w:tc>
      </w:tr>
      <w:tr w:rsidR="0071413B" w:rsidRPr="003F6B9F" w14:paraId="23CE8D96" w14:textId="77777777" w:rsidTr="00DB087A">
        <w:trPr>
          <w:trHeight w:val="311"/>
          <w:jc w:val="center"/>
        </w:trPr>
        <w:tc>
          <w:tcPr>
            <w:tcW w:w="3355" w:type="dxa"/>
            <w:shd w:val="clear" w:color="auto" w:fill="auto"/>
          </w:tcPr>
          <w:p w14:paraId="218DF695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396D8C" w14:textId="77777777" w:rsidR="0071413B" w:rsidRPr="003F6B9F" w:rsidRDefault="0071413B" w:rsidP="0071413B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vAlign w:val="center"/>
          </w:tcPr>
          <w:p w14:paraId="5C2C6F45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18" w:type="dxa"/>
            <w:vAlign w:val="center"/>
          </w:tcPr>
          <w:p w14:paraId="2FB59AFC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07851E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6C8ACC5A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71413B" w:rsidRPr="003F6B9F" w14:paraId="111F0317" w14:textId="77777777" w:rsidTr="00DB087A">
        <w:trPr>
          <w:jc w:val="center"/>
        </w:trPr>
        <w:tc>
          <w:tcPr>
            <w:tcW w:w="3355" w:type="dxa"/>
            <w:shd w:val="clear" w:color="auto" w:fill="auto"/>
            <w:vAlign w:val="center"/>
          </w:tcPr>
          <w:p w14:paraId="461A74C1" w14:textId="77777777" w:rsidR="0071413B" w:rsidRPr="003F6B9F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FDF1F7" w14:textId="77777777" w:rsidR="0071413B" w:rsidRPr="003F6B9F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14:paraId="4C389979" w14:textId="77777777" w:rsidR="0071413B" w:rsidRPr="003F6B9F" w:rsidRDefault="008D218D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7 231,1</w:t>
            </w:r>
          </w:p>
        </w:tc>
        <w:tc>
          <w:tcPr>
            <w:tcW w:w="1418" w:type="dxa"/>
            <w:vAlign w:val="center"/>
          </w:tcPr>
          <w:p w14:paraId="3264A3D4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6 659,7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59EDD2EE" w14:textId="77777777" w:rsidR="0071413B" w:rsidRPr="003F6B9F" w:rsidRDefault="00993F30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92,09</w:t>
            </w:r>
          </w:p>
        </w:tc>
        <w:tc>
          <w:tcPr>
            <w:tcW w:w="1462" w:type="dxa"/>
            <w:shd w:val="clear" w:color="auto" w:fill="auto"/>
            <w:vAlign w:val="center"/>
          </w:tcPr>
          <w:p w14:paraId="13C1E947" w14:textId="77777777" w:rsidR="0071413B" w:rsidRPr="003F6B9F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</w:tbl>
    <w:p w14:paraId="6DC648F8" w14:textId="77777777" w:rsidR="0071413B" w:rsidRPr="003F6B9F" w:rsidRDefault="0071413B" w:rsidP="0071413B">
      <w:pPr>
        <w:widowControl w:val="0"/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6B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AEA3419" w14:textId="77777777" w:rsidR="0071413B" w:rsidRPr="00203637" w:rsidRDefault="0071413B" w:rsidP="0007159C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данных, представленных в таблиц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>е 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следует, что основная доля расход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 бюджета поселка </w:t>
      </w:r>
      <w:proofErr w:type="spellStart"/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приходится на  расходы на закупку товаров, работ и услуг для обеспечения муниципальных нужд (вид 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200) приходится – 47,03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на выплаты персоналу в целях обеспечения выполнения функций муниципальными органами, (ви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 расходов 100) приходится 45,70</w:t>
      </w:r>
      <w:r w:rsidR="003A4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объема расходов.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расходов межбюд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жетные трансферты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(ви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>д расходов 500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5,56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капитальные вложения в объекты государственной (муниципальной) собственности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(вид расхода 400)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7159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1,64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бюджетные ассигнования</w:t>
      </w:r>
      <w:r w:rsidR="0007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(вид расхода 800)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3A4E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DD9367" w14:textId="66374876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на 92,09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При этом исполнение по непрограммным расхода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м составило 91,12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плана,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исполнение по прог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раммным расходам составило 94,77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планового объема бюджетных ассигнований.</w:t>
      </w:r>
    </w:p>
    <w:p w14:paraId="106C94B0" w14:textId="253A4FE0" w:rsidR="0071413B" w:rsidRPr="00203637" w:rsidRDefault="0071413B" w:rsidP="0071413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расходы по непрограммным направлениям деятельности и по программным осуществлялась одним главным распорядителем бюджетных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бюджета</w:t>
      </w:r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993F30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90D53E" w14:textId="77777777" w:rsidR="0071413B" w:rsidRPr="00203637" w:rsidRDefault="0071413B" w:rsidP="0071413B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Анализ </w:t>
      </w: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исполнения муниципальн</w:t>
      </w:r>
      <w:r w:rsidR="003A4E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</w:t>
      </w:r>
      <w:r w:rsidR="003A4E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14:paraId="3F5172EE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</w:t>
      </w:r>
      <w:r w:rsidR="00364DAA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бюджета поселка </w:t>
      </w:r>
      <w:proofErr w:type="spellStart"/>
      <w:r w:rsidR="00364DAA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осуществлялось по программно-целевому принципу путем реализации одной муниципальной программы.</w:t>
      </w:r>
    </w:p>
    <w:p w14:paraId="32B2F246" w14:textId="7DBEC14F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Планируемый объем финансирования муниципальной программы в 2022 году согласно показателям сводной бю</w:t>
      </w:r>
      <w:r w:rsidR="00A8321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джетной росписи составил 1 926,5 тыс. руб. или 26,64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от общего объема утвержденных расходов. Фактически </w:t>
      </w:r>
      <w:r w:rsidR="00914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программные мероприятия муниципальной программы были профинансированы</w:t>
      </w:r>
      <w:r w:rsidR="00A8321F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1 825,9 тыс. руб. или 94,77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 % от планового объема.</w:t>
      </w:r>
    </w:p>
    <w:p w14:paraId="16052ACB" w14:textId="7E8346CB" w:rsidR="0071413B" w:rsidRPr="00203637" w:rsidRDefault="007C08AD" w:rsidP="0071413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подпрограмм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муниципальной программы исполнение и их уде</w:t>
      </w:r>
      <w:r w:rsidR="001547B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 представлен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8.</w:t>
      </w:r>
    </w:p>
    <w:p w14:paraId="5F476C89" w14:textId="77777777" w:rsidR="0071413B" w:rsidRPr="001547B2" w:rsidRDefault="0071413B" w:rsidP="0071413B">
      <w:pPr>
        <w:tabs>
          <w:tab w:val="left" w:pos="70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4961"/>
        <w:gridCol w:w="1276"/>
        <w:gridCol w:w="992"/>
        <w:gridCol w:w="992"/>
        <w:gridCol w:w="1134"/>
      </w:tblGrid>
      <w:tr w:rsidR="0071413B" w:rsidRPr="0071413B" w14:paraId="058B4CC3" w14:textId="77777777" w:rsidTr="00DB087A">
        <w:trPr>
          <w:trHeight w:val="88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A5DA" w14:textId="6636E731" w:rsidR="0071413B" w:rsidRPr="001547B2" w:rsidRDefault="0071413B" w:rsidP="0071413B">
            <w:pPr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6D1F" w14:textId="77777777" w:rsidR="0071413B" w:rsidRPr="001547B2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F855" w14:textId="77777777" w:rsidR="0071413B" w:rsidRPr="001547B2" w:rsidRDefault="0071413B" w:rsidP="0071413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Утвержденные бюджетные назначения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A5F4" w14:textId="77777777" w:rsidR="0071413B" w:rsidRPr="001547B2" w:rsidRDefault="0071413B" w:rsidP="0071413B">
            <w:pPr>
              <w:spacing w:after="0" w:line="240" w:lineRule="auto"/>
              <w:ind w:left="-157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за 2022 год</w:t>
            </w:r>
          </w:p>
          <w:p w14:paraId="3FE649A6" w14:textId="77777777" w:rsidR="0071413B" w:rsidRPr="001547B2" w:rsidRDefault="0071413B" w:rsidP="0071413B">
            <w:pPr>
              <w:spacing w:after="0" w:line="240" w:lineRule="auto"/>
              <w:ind w:left="-157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2E24" w14:textId="77777777" w:rsidR="0071413B" w:rsidRPr="001547B2" w:rsidRDefault="0071413B" w:rsidP="0071413B">
            <w:pPr>
              <w:spacing w:after="0" w:line="240" w:lineRule="auto"/>
              <w:ind w:left="-114" w:right="-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исполнения</w:t>
            </w:r>
          </w:p>
          <w:p w14:paraId="358ABD79" w14:textId="77777777" w:rsidR="0071413B" w:rsidRPr="001547B2" w:rsidRDefault="0071413B" w:rsidP="0071413B">
            <w:pPr>
              <w:spacing w:after="0" w:line="240" w:lineRule="auto"/>
              <w:ind w:left="-114" w:right="-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8CBF" w14:textId="77777777" w:rsidR="0071413B" w:rsidRPr="001547B2" w:rsidRDefault="0071413B" w:rsidP="0071413B">
            <w:pPr>
              <w:spacing w:after="0" w:line="240" w:lineRule="auto"/>
              <w:ind w:left="-134" w:righ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% в общем объеме исп. </w:t>
            </w:r>
            <w:proofErr w:type="spellStart"/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расходов</w:t>
            </w:r>
          </w:p>
        </w:tc>
      </w:tr>
      <w:tr w:rsidR="0071413B" w:rsidRPr="0071413B" w14:paraId="12C29CBA" w14:textId="77777777" w:rsidTr="00DB087A">
        <w:trPr>
          <w:trHeight w:val="15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925B" w14:textId="1392AF50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8BC5" w14:textId="379094FC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CED2" w14:textId="47D758AF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2859" w14:textId="4F18EB1B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EB47" w14:textId="468A4F29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A989" w14:textId="30780472" w:rsidR="0071413B" w:rsidRPr="001547B2" w:rsidRDefault="00DB087A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71413B" w:rsidRPr="0071413B" w14:paraId="61FA0430" w14:textId="77777777" w:rsidTr="00DB087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48A3" w14:textId="77777777" w:rsidR="0071413B" w:rsidRPr="003A4EA8" w:rsidRDefault="0071413B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707A" w14:textId="77777777" w:rsidR="0071413B" w:rsidRPr="005B4AD4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«Устойчивое развитие муниципального </w:t>
            </w:r>
            <w:r w:rsidR="00364DAA"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образования поселок </w:t>
            </w:r>
            <w:proofErr w:type="spellStart"/>
            <w:r w:rsidR="00364DAA"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DB4D" w14:textId="77777777" w:rsidR="0071413B" w:rsidRPr="005B4AD4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F0CB" w14:textId="77777777" w:rsidR="0071413B" w:rsidRPr="005B4AD4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44ABA" w14:textId="77777777" w:rsidR="0071413B" w:rsidRPr="005B4AD4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9723" w14:textId="77777777" w:rsidR="0071413B" w:rsidRPr="005B4AD4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4A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</w:tr>
      <w:tr w:rsidR="0071413B" w:rsidRPr="0071413B" w14:paraId="1D498F03" w14:textId="77777777" w:rsidTr="00DB087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839F" w14:textId="77777777" w:rsidR="0071413B" w:rsidRPr="001547B2" w:rsidRDefault="00504508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50F6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«Предупреждение и ликвидация последствий ЧС и обеспечение мер пожарной безопасности на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3E447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95BBE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9411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1663" w14:textId="77777777" w:rsidR="0071413B" w:rsidRPr="001547B2" w:rsidRDefault="00A8321F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8,05</w:t>
            </w:r>
          </w:p>
        </w:tc>
      </w:tr>
      <w:tr w:rsidR="0071413B" w:rsidRPr="0071413B" w14:paraId="607641C7" w14:textId="77777777" w:rsidTr="00DB087A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1EAA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88D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«Дорожная деятельность в отношении дорог местно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значения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обеспечение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CD4A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F5138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BA2B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E1F5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5,47</w:t>
            </w:r>
          </w:p>
        </w:tc>
      </w:tr>
      <w:tr w:rsidR="0071413B" w:rsidRPr="0071413B" w14:paraId="14CE7782" w14:textId="77777777" w:rsidTr="00DB087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5DF7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8B12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благоустройства территории, создание среды комфортной для прожива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жителей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102C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451A2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9209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B4978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58,30</w:t>
            </w:r>
          </w:p>
        </w:tc>
      </w:tr>
      <w:tr w:rsidR="0071413B" w:rsidRPr="0071413B" w14:paraId="7F07EFAC" w14:textId="77777777" w:rsidTr="00DB087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B73D1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FE9A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щного фонда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4671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377E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9978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24903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</w:t>
            </w:r>
          </w:p>
        </w:tc>
      </w:tr>
      <w:tr w:rsidR="0071413B" w:rsidRPr="0071413B" w14:paraId="7AB31CAC" w14:textId="77777777" w:rsidTr="00DB087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95CA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4D69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Подпрограмма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бственность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B85B1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BB42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924B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0D62" w14:textId="77777777" w:rsidR="0071413B" w:rsidRPr="001547B2" w:rsidRDefault="00F73BA4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4,11</w:t>
            </w:r>
          </w:p>
        </w:tc>
      </w:tr>
      <w:tr w:rsidR="0071413B" w:rsidRPr="0071413B" w14:paraId="57959451" w14:textId="77777777" w:rsidTr="00DB087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FBE7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ABDA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«Владение имуществом муниципальной собственности. Наращивание движимого и недвижимого муниципального имущества для решения вопросов местно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значения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0A95A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D5C2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E5B2D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B62D" w14:textId="77777777" w:rsidR="0071413B" w:rsidRPr="001547B2" w:rsidRDefault="00364DAA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413B" w:rsidRPr="0071413B" w14:paraId="7CC39E19" w14:textId="77777777" w:rsidTr="00DB087A">
        <w:trPr>
          <w:trHeight w:val="4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DB91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1FB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«Противодействие экстремизму и профилактика терроризма на терр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итории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AEE4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191A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2BDBC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58D1E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413B" w:rsidRPr="0071413B" w14:paraId="4396037F" w14:textId="77777777" w:rsidTr="00DB087A">
        <w:trPr>
          <w:trHeight w:val="57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BFD" w14:textId="77777777" w:rsidR="0071413B" w:rsidRPr="001547B2" w:rsidRDefault="00745F12" w:rsidP="0071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34E" w14:textId="77777777" w:rsidR="0071413B" w:rsidRPr="001547B2" w:rsidRDefault="0071413B" w:rsidP="0071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социально – значимых мероприятий на</w:t>
            </w:r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поселка </w:t>
            </w:r>
            <w:proofErr w:type="spellStart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Чемдальск</w:t>
            </w:r>
            <w:proofErr w:type="spellEnd"/>
            <w:r w:rsidR="00364DAA"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4DB2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6EA5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286A3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D4C2" w14:textId="77777777" w:rsidR="0071413B" w:rsidRPr="001547B2" w:rsidRDefault="0071413B" w:rsidP="0071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14:paraId="6D110410" w14:textId="77777777" w:rsidR="0071413B" w:rsidRPr="00203637" w:rsidRDefault="00AC33B0" w:rsidP="0071413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представленных в таблице 8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следует, что исполнение  муниципальной программы в 2022 году на уровне 100 % сложилось по двум подпрограмм</w:t>
      </w:r>
      <w:r w:rsidR="007A22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proofErr w:type="spellStart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поселка </w:t>
      </w:r>
      <w:proofErr w:type="spellStart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(в основном с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ольшой долей расходов от 75,0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руб.).</w:t>
      </w:r>
    </w:p>
    <w:p w14:paraId="40D5CD5A" w14:textId="053A6A42" w:rsidR="0071413B" w:rsidRPr="00203637" w:rsidRDefault="0071413B" w:rsidP="0071413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программных мероприятий по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 подпрограммам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E130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ложилось в пределах от 59,24</w:t>
      </w:r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до 97,46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6533D321" w14:textId="21564923" w:rsidR="0071413B" w:rsidRPr="005D0253" w:rsidRDefault="0071413B" w:rsidP="0071413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неисполненных про</w:t>
      </w:r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граммных расходов составил 100,6 тыс. руб. или 5,</w:t>
      </w:r>
      <w:r w:rsid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от общего объема утвержденных программных расходов. Основное неисполнение от общего объёма неисполненных программных расходов составили расходы </w:t>
      </w:r>
      <w:r w:rsidR="00DB087A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подпрограмме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«Дорожная деятельность в отношении дорог местного значения поселка </w:t>
      </w:r>
      <w:proofErr w:type="spellStart"/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обеспечение безопасности дорожного движения»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сумма неисполнения составила</w:t>
      </w:r>
      <w:r w:rsidR="001F0228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68,8 тыс. руб. или </w:t>
      </w:r>
      <w:r w:rsidR="00DB087A">
        <w:rPr>
          <w:rFonts w:ascii="Times New Roman" w:eastAsia="Times New Roman" w:hAnsi="Times New Roman" w:cs="Times New Roman"/>
          <w:sz w:val="28"/>
          <w:szCs w:val="28"/>
          <w:lang w:eastAsia="ru-RU"/>
        </w:rPr>
        <w:t>40,76</w:t>
      </w:r>
      <w:r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1037863D" w14:textId="1A0B0044" w:rsidR="0071413B" w:rsidRPr="005D0253" w:rsidRDefault="0071413B" w:rsidP="0071413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подпрограмме «Организация благоустройства территории, создание среды комфортной для прожива</w:t>
      </w:r>
      <w:r w:rsidR="001F0228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жителей поселка </w:t>
      </w:r>
      <w:proofErr w:type="spellStart"/>
      <w:r w:rsidR="001F0228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су</w:t>
      </w:r>
      <w:r w:rsidR="001F0228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мма неисполнения составила 27,7 тыс. руб. или </w:t>
      </w:r>
      <w:r w:rsidR="005D0253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2,54</w:t>
      </w:r>
      <w:r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3D257F31" w14:textId="62852891" w:rsidR="0071413B" w:rsidRPr="00203637" w:rsidRDefault="00745F12" w:rsidP="0071413B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подпрограмм</w:t>
      </w:r>
      <w:r w:rsidR="009148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1413B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«Предупреждение и ликвидация последствий ЧС и обеспечение мер пожарной безопасности на</w:t>
      </w:r>
      <w:r w:rsidR="000700A4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поселка </w:t>
      </w:r>
      <w:proofErr w:type="spellStart"/>
      <w:r w:rsidR="000700A4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700A4" w:rsidRPr="005D0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неисполнения составила 4,1 тыс. руб. или </w:t>
      </w:r>
      <w:r w:rsidR="00DB087A">
        <w:rPr>
          <w:rFonts w:ascii="Times New Roman" w:eastAsia="Times New Roman" w:hAnsi="Times New Roman" w:cs="Times New Roman"/>
          <w:sz w:val="28"/>
          <w:szCs w:val="28"/>
          <w:lang w:eastAsia="ru-RU"/>
        </w:rPr>
        <w:t>2,72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14:paraId="628D5B02" w14:textId="29722F40" w:rsidR="00745F12" w:rsidRPr="00203637" w:rsidRDefault="00F0655C" w:rsidP="00F0655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9148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«Противодействие экстремизму и профилактика терроризма на территории поселка </w:t>
      </w:r>
      <w:proofErr w:type="spellStart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социально-</w:t>
      </w:r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значимых мероприятий на территории поселка </w:t>
      </w:r>
      <w:proofErr w:type="spellStart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proofErr w:type="spellStart"/>
      <w:r w:rsidRPr="00F0655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F065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бюджетные назначения 0,0 тыс. руб.,</w:t>
      </w:r>
      <w:r w:rsidR="00745F12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составила 0,0 тыс. руб.</w:t>
      </w:r>
    </w:p>
    <w:p w14:paraId="63E93E41" w14:textId="77777777" w:rsidR="0071413B" w:rsidRPr="00203637" w:rsidRDefault="00203637" w:rsidP="002036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C33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Представленная в составе О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тчета об исполне</w:t>
      </w:r>
      <w:r w:rsidR="000700A4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700A4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Пояснительная записка, в части подпрограмм 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программы  содержит информацию только об общем объеме исполненных подпрограммных расходов и их доли в общем объеме исполненных расходов. </w:t>
      </w:r>
    </w:p>
    <w:p w14:paraId="06063E5A" w14:textId="22799D9B" w:rsidR="0071413B" w:rsidRPr="00203637" w:rsidRDefault="0071413B" w:rsidP="0071413B">
      <w:pPr>
        <w:autoSpaceDE w:val="0"/>
        <w:autoSpaceDN w:val="0"/>
        <w:adjustRightInd w:val="0"/>
        <w:spacing w:before="120" w:after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3637">
        <w:rPr>
          <w:rFonts w:ascii="Times New Roman" w:eastAsia="Calibri" w:hAnsi="Times New Roman" w:cs="Times New Roman"/>
          <w:b/>
          <w:bCs/>
          <w:sz w:val="28"/>
          <w:szCs w:val="28"/>
        </w:rPr>
        <w:t>4. Дебиторская и кредиторская задолженность</w:t>
      </w:r>
    </w:p>
    <w:p w14:paraId="3892A40A" w14:textId="2E9FFDD4" w:rsidR="005047DC" w:rsidRPr="00203637" w:rsidRDefault="005047DC" w:rsidP="007A22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ф.0503169 «Сведения по дебиторской и кредиторской задолженности» по состоянию на 01.01.2022 числится дебиторская задолженность в общей сумме 134 166,85 руб., в том числе:</w:t>
      </w:r>
    </w:p>
    <w:p w14:paraId="6CABE6F3" w14:textId="1BBFE121" w:rsidR="005047DC" w:rsidRPr="00203637" w:rsidRDefault="005047DC" w:rsidP="005047DC">
      <w:pPr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0363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- по счету 120971000 </w:t>
      </w:r>
      <w:r w:rsidR="007C08AD"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«Расчеты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 ущербу основным средствам» в сумме 18 181,00 руб.,</w:t>
      </w:r>
    </w:p>
    <w:p w14:paraId="19C7F7E2" w14:textId="77777777" w:rsidR="005047DC" w:rsidRPr="00203637" w:rsidRDefault="005047DC" w:rsidP="005047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по счету 12097400 «Расчеты по ущербу материальных запасов» в сумме 115 985,85 руб.</w:t>
      </w:r>
    </w:p>
    <w:p w14:paraId="277D5977" w14:textId="77777777" w:rsidR="005047DC" w:rsidRPr="00203637" w:rsidRDefault="005047DC" w:rsidP="00504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ф.0503169 «Сведения по дебиторской и кредиторской задолженности» по состоянию на 01.01.2022 кредиторская задолженность отсутствует.</w:t>
      </w:r>
    </w:p>
    <w:p w14:paraId="0EDE0532" w14:textId="77777777" w:rsidR="005047DC" w:rsidRPr="00203637" w:rsidRDefault="005047DC" w:rsidP="005047DC">
      <w:pPr>
        <w:pStyle w:val="af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3637">
        <w:rPr>
          <w:rFonts w:ascii="Times New Roman" w:hAnsi="Times New Roman" w:cs="Times New Roman"/>
          <w:sz w:val="28"/>
          <w:szCs w:val="28"/>
        </w:rPr>
        <w:t xml:space="preserve">Согласно ф. 0503169 «Сведения по дебиторской и кредиторской задолженности» </w:t>
      </w:r>
      <w:r w:rsidRPr="00203637">
        <w:rPr>
          <w:rFonts w:ascii="Times New Roman" w:hAnsi="Times New Roman" w:cs="Times New Roman"/>
          <w:bCs/>
          <w:sz w:val="28"/>
          <w:szCs w:val="28"/>
        </w:rPr>
        <w:t>по состоянию на 01.01.2023 дебиторская задолженность не изменилась и составила 134 166,63 руб., в том числе: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7A1645" w14:textId="61D874BE" w:rsidR="005047DC" w:rsidRPr="00203637" w:rsidRDefault="005047DC" w:rsidP="005047DC">
      <w:pPr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0363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- по счету 120971000 </w:t>
      </w:r>
      <w:r w:rsidR="007C08AD"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«Расчеты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 ущербу основным средствам» в сумме 18 181,00 руб.,</w:t>
      </w:r>
    </w:p>
    <w:p w14:paraId="44B53D5E" w14:textId="77777777" w:rsidR="005047DC" w:rsidRPr="00203637" w:rsidRDefault="005047DC" w:rsidP="005047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20363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- по счету 12097400 «Расчеты по ущербу материальных запасов» в сумме 115 985,85 руб.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(Согласно пояснительной к ф.0503169 у материально-ответственного лица Абрамовой Е.Д. выявлена недостача материальных ценностей от 12.03.2018, до настоящего времени материальные ценности не возращены, документы переданы в правоохранительные органы).</w:t>
      </w:r>
    </w:p>
    <w:p w14:paraId="780012FD" w14:textId="77777777" w:rsidR="005047DC" w:rsidRPr="007A2287" w:rsidRDefault="005047DC" w:rsidP="005047DC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5E57DEE" w14:textId="77777777" w:rsidR="00A74F0F" w:rsidRPr="00203637" w:rsidRDefault="00A74F0F" w:rsidP="007A22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ф.0503169 «Сведения по дебиторской и кредиторской задолженности» по состоянию на 01.01.2023 кредиторская задолженность отсутствует.</w:t>
      </w:r>
    </w:p>
    <w:p w14:paraId="401CDD6A" w14:textId="77777777" w:rsidR="00A74F0F" w:rsidRDefault="00A74F0F" w:rsidP="00A7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Просроченная, а также нереальная к взысканию, кредиторская задолженность отсутствует.</w:t>
      </w:r>
    </w:p>
    <w:p w14:paraId="2E671010" w14:textId="77777777" w:rsidR="007A2287" w:rsidRPr="00203637" w:rsidRDefault="007A2287" w:rsidP="00A7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00683" w14:textId="77777777" w:rsidR="0071413B" w:rsidRPr="00203637" w:rsidRDefault="007A2287" w:rsidP="007A2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Дефицит бюджета поселка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Чемдальск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7669B1F" w14:textId="209AE463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первоначальной редакции Решения о бюджете на 2022 год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бюджете</w:t>
      </w:r>
      <w:r w:rsidR="005047D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 </w:t>
      </w:r>
      <w:proofErr w:type="spellStart"/>
      <w:r w:rsidR="005047D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не предусмотрен.  С учетом внесенных в течение отчетного периода изменений в Решени</w:t>
      </w:r>
      <w:r w:rsidR="005047D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 бюджете поселка </w:t>
      </w:r>
      <w:proofErr w:type="spellStart"/>
      <w:r w:rsidR="005047D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утвержденный </w:t>
      </w:r>
      <w:r w:rsidR="007C08AD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5047DC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266,6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2659AB56" w14:textId="77777777" w:rsidR="0071413B" w:rsidRPr="00203637" w:rsidRDefault="0006739B" w:rsidP="0071413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поселка </w:t>
      </w:r>
      <w:proofErr w:type="spellStart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превышал ограничения, установленные п. 3 ст. 92.1 БК РФ.</w:t>
      </w:r>
    </w:p>
    <w:p w14:paraId="590EC920" w14:textId="77777777" w:rsidR="0071413B" w:rsidRPr="00203637" w:rsidRDefault="00203637" w:rsidP="0071413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О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тчету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  бюджет исп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 с профицитом в сумме 311,7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(в 2021 г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 бюджет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 с профицитом в сумме 64,2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руб.).</w:t>
      </w:r>
    </w:p>
    <w:p w14:paraId="2746A406" w14:textId="77777777" w:rsidR="0071413B" w:rsidRPr="00203637" w:rsidRDefault="0071413B" w:rsidP="0071413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Результаты внешней проверки бюджетной отчетности</w:t>
      </w:r>
    </w:p>
    <w:p w14:paraId="5C0F3406" w14:textId="77777777" w:rsidR="0071413B" w:rsidRPr="00203637" w:rsidRDefault="0071413B" w:rsidP="0071413B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бюджетной отчетности органом внешнего финансового контроля проведена в отношении Адм</w:t>
      </w:r>
      <w:r w:rsidR="0006739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инистраций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Чемдальск</w:t>
      </w:r>
      <w:proofErr w:type="spellEnd"/>
      <w:r w:rsidR="007A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E4BACB6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проверки показали следующее.</w:t>
      </w:r>
    </w:p>
    <w:p w14:paraId="482D967C" w14:textId="77777777" w:rsidR="00AC33B0" w:rsidRPr="00AC33B0" w:rsidRDefault="0071413B" w:rsidP="00AC33B0">
      <w:pPr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Годовая бюджетная отчетность </w:t>
      </w:r>
      <w:r w:rsidR="0006739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ГАБС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F06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6739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мдальск</w:t>
      </w:r>
      <w:proofErr w:type="spellEnd"/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представлена в орган внешнего финансового контроля своевременно, в срок, установленный п. 4 ст. 37 Положения о бюджетном процессе, в сброшюрованном и пронумерованном виде с оглавлением и сопроводительным письмом и по своему составу соответствует перечню и формам, предусмотренным</w:t>
      </w:r>
      <w:r w:rsidR="00AC33B0" w:rsidRPr="00AC3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– Инструкция № 191н).</w:t>
      </w:r>
    </w:p>
    <w:p w14:paraId="17F3011F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Пользователем бюджетной отчетности проведена камеральная проверка представленной ему бюджетной отчетности согласно п. 10 Инструкции 191н.</w:t>
      </w:r>
    </w:p>
    <w:p w14:paraId="607EAF38" w14:textId="77777777" w:rsidR="0071413B" w:rsidRPr="00203637" w:rsidRDefault="0071413B" w:rsidP="0071413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14:paraId="7714D095" w14:textId="4AD98289" w:rsidR="0071413B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выявила.</w:t>
      </w:r>
    </w:p>
    <w:p w14:paraId="1571976A" w14:textId="77777777" w:rsidR="002829BB" w:rsidRPr="00203637" w:rsidRDefault="002829B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2CAC7" w14:textId="77777777" w:rsidR="0071413B" w:rsidRPr="00203637" w:rsidRDefault="0071413B" w:rsidP="0071413B">
      <w:pPr>
        <w:spacing w:before="120"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3637">
        <w:rPr>
          <w:rFonts w:ascii="Times New Roman" w:eastAsia="Calibri" w:hAnsi="Times New Roman" w:cs="Times New Roman"/>
          <w:b/>
          <w:sz w:val="28"/>
          <w:szCs w:val="28"/>
        </w:rPr>
        <w:t>Выводы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637">
        <w:rPr>
          <w:rFonts w:ascii="Times New Roman" w:eastAsia="Calibri" w:hAnsi="Times New Roman" w:cs="Times New Roman"/>
          <w:b/>
          <w:sz w:val="28"/>
          <w:szCs w:val="28"/>
        </w:rPr>
        <w:t>и предложения</w:t>
      </w:r>
    </w:p>
    <w:p w14:paraId="3E7A2ECD" w14:textId="77777777" w:rsidR="0071413B" w:rsidRPr="00203637" w:rsidRDefault="00203637" w:rsidP="00714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внешней проверки О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тчета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и анализ документов, представленных одн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овременно с ним, показали, что О</w:t>
      </w:r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2022 год в целом соответствует нормам и требованиям бюджетного законодательства.</w:t>
      </w:r>
    </w:p>
    <w:p w14:paraId="706247B6" w14:textId="77777777" w:rsidR="0071413B" w:rsidRPr="00203637" w:rsidRDefault="0071413B" w:rsidP="00714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представлен в К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онтрольно-счетную палату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Эвенкийского муниципального 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соблюдением срока, установленного ст. 264.4 БК РФ и 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3 ст. 47 Положения о бюджетном процессе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65F7C6" w14:textId="77777777" w:rsidR="0071413B" w:rsidRPr="00203637" w:rsidRDefault="0071413B" w:rsidP="0071413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вне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шней проверки установлено, что 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 соответствует нормам и требованиям бюджетного законодательства.</w:t>
      </w:r>
    </w:p>
    <w:p w14:paraId="33DF14B6" w14:textId="77777777" w:rsidR="0071413B" w:rsidRPr="00203637" w:rsidRDefault="0071413B" w:rsidP="007141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Данные, по объему доходов, расходов и источникам финансирования дефи</w:t>
      </w:r>
      <w:r w:rsidR="00203637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цита бюджета, представленные в О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тчете об исполне</w:t>
      </w:r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деятельности.</w:t>
      </w:r>
    </w:p>
    <w:p w14:paraId="102A6349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внешней проверки дана оц</w:t>
      </w:r>
      <w:r w:rsidR="00203637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енка достоверности показателей О</w:t>
      </w: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тчета об исполне</w:t>
      </w:r>
      <w:r w:rsidR="0006739B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нии бюджета поселка </w:t>
      </w:r>
      <w:proofErr w:type="spellStart"/>
      <w:r w:rsidR="0006739B"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Чемдальск</w:t>
      </w:r>
      <w:proofErr w:type="spellEnd"/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14:paraId="452FA0D7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14:paraId="4F3A3038" w14:textId="77777777" w:rsidR="0071413B" w:rsidRPr="00203637" w:rsidRDefault="00203637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целом, О</w:t>
      </w:r>
      <w:r w:rsidR="0071413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тчет об исполне</w:t>
      </w:r>
      <w:r w:rsidR="0003337D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бюджета поселка </w:t>
      </w:r>
      <w:proofErr w:type="spellStart"/>
      <w:r w:rsidR="0003337D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2022 год может быть рассмотрен и принят </w:t>
      </w:r>
      <w:r w:rsidR="0003337D" w:rsidRPr="0020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Сходом граждан поселка </w:t>
      </w:r>
      <w:proofErr w:type="spellStart"/>
      <w:r w:rsidR="0003337D" w:rsidRPr="00203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Чемдальск</w:t>
      </w:r>
      <w:proofErr w:type="spellEnd"/>
      <w:r w:rsidR="0071413B" w:rsidRPr="00203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58C590" w14:textId="5E4A760E" w:rsidR="0071413B" w:rsidRDefault="0071413B" w:rsidP="0071413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9FEE25" w14:textId="77777777" w:rsidR="004D35E9" w:rsidRPr="00203637" w:rsidRDefault="004D35E9" w:rsidP="0071413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9FEA66" w14:textId="77777777" w:rsidR="0071413B" w:rsidRPr="00203637" w:rsidRDefault="0071413B" w:rsidP="0071413B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F010AB" w14:textId="77777777" w:rsidR="0071413B" w:rsidRPr="00203637" w:rsidRDefault="0071413B" w:rsidP="0071413B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C19C9" w14:textId="5455B9A0" w:rsidR="0071413B" w:rsidRPr="00203637" w:rsidRDefault="0071413B" w:rsidP="00714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КСП ЭМР</w:t>
      </w:r>
      <w:r w:rsidRPr="002036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А.В. Побелустиков</w:t>
      </w:r>
    </w:p>
    <w:p w14:paraId="5635E732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34553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B76B07" w14:textId="77777777" w:rsidR="0071413B" w:rsidRPr="00203637" w:rsidRDefault="0071413B" w:rsidP="007141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1B858" w14:textId="77777777" w:rsidR="0071413B" w:rsidRPr="00203637" w:rsidRDefault="0071413B" w:rsidP="00714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9E8C7" w14:textId="77777777" w:rsidR="009C75D7" w:rsidRPr="00203637" w:rsidRDefault="009C75D7" w:rsidP="005511FA">
      <w:pPr>
        <w:rPr>
          <w:sz w:val="28"/>
          <w:szCs w:val="28"/>
        </w:rPr>
      </w:pPr>
      <w:r w:rsidRPr="00203637">
        <w:rPr>
          <w:sz w:val="28"/>
          <w:szCs w:val="28"/>
        </w:rPr>
        <w:t xml:space="preserve"> </w:t>
      </w:r>
    </w:p>
    <w:sectPr w:rsidR="009C75D7" w:rsidRPr="00203637" w:rsidSect="00AE7634">
      <w:footerReference w:type="default" r:id="rId9"/>
      <w:pgSz w:w="11907" w:h="16840" w:code="9"/>
      <w:pgMar w:top="1418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21701" w14:textId="77777777" w:rsidR="00550D5F" w:rsidRDefault="00550D5F" w:rsidP="0003337D">
      <w:pPr>
        <w:spacing w:after="0" w:line="240" w:lineRule="auto"/>
      </w:pPr>
      <w:r>
        <w:separator/>
      </w:r>
    </w:p>
  </w:endnote>
  <w:endnote w:type="continuationSeparator" w:id="0">
    <w:p w14:paraId="369FB2B1" w14:textId="77777777" w:rsidR="00550D5F" w:rsidRDefault="00550D5F" w:rsidP="0003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525205"/>
      <w:docPartObj>
        <w:docPartGallery w:val="Page Numbers (Bottom of Page)"/>
        <w:docPartUnique/>
      </w:docPartObj>
    </w:sdtPr>
    <w:sdtEndPr/>
    <w:sdtContent>
      <w:p w14:paraId="2E8DF829" w14:textId="77777777" w:rsidR="00AE7634" w:rsidRDefault="00AE7634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CF2">
          <w:rPr>
            <w:noProof/>
          </w:rPr>
          <w:t>1</w:t>
        </w:r>
        <w:r>
          <w:fldChar w:fldCharType="end"/>
        </w:r>
      </w:p>
    </w:sdtContent>
  </w:sdt>
  <w:p w14:paraId="1776038E" w14:textId="77777777" w:rsidR="00AE7634" w:rsidRDefault="00AE7634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4A5E4" w14:textId="77777777" w:rsidR="00550D5F" w:rsidRDefault="00550D5F" w:rsidP="0003337D">
      <w:pPr>
        <w:spacing w:after="0" w:line="240" w:lineRule="auto"/>
      </w:pPr>
      <w:r>
        <w:separator/>
      </w:r>
    </w:p>
  </w:footnote>
  <w:footnote w:type="continuationSeparator" w:id="0">
    <w:p w14:paraId="5B97E2B3" w14:textId="77777777" w:rsidR="00550D5F" w:rsidRDefault="00550D5F" w:rsidP="00033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76"/>
    <w:rsid w:val="0003337D"/>
    <w:rsid w:val="0006739B"/>
    <w:rsid w:val="000700A4"/>
    <w:rsid w:val="0007159C"/>
    <w:rsid w:val="000B20DC"/>
    <w:rsid w:val="000C6790"/>
    <w:rsid w:val="000D239C"/>
    <w:rsid w:val="00117FF6"/>
    <w:rsid w:val="001201C2"/>
    <w:rsid w:val="001246C0"/>
    <w:rsid w:val="001547B2"/>
    <w:rsid w:val="001679B2"/>
    <w:rsid w:val="001917DD"/>
    <w:rsid w:val="00191C32"/>
    <w:rsid w:val="001A1C80"/>
    <w:rsid w:val="001E1308"/>
    <w:rsid w:val="001E5FC3"/>
    <w:rsid w:val="001F0228"/>
    <w:rsid w:val="00203637"/>
    <w:rsid w:val="00222FB7"/>
    <w:rsid w:val="0027383A"/>
    <w:rsid w:val="002829BB"/>
    <w:rsid w:val="00291504"/>
    <w:rsid w:val="002E1C54"/>
    <w:rsid w:val="002F5BCE"/>
    <w:rsid w:val="00314D1E"/>
    <w:rsid w:val="00364DAA"/>
    <w:rsid w:val="003911AF"/>
    <w:rsid w:val="00392CF2"/>
    <w:rsid w:val="003963E3"/>
    <w:rsid w:val="003A4EA8"/>
    <w:rsid w:val="003D5F1E"/>
    <w:rsid w:val="003F6B9F"/>
    <w:rsid w:val="00472508"/>
    <w:rsid w:val="004B1300"/>
    <w:rsid w:val="004B5468"/>
    <w:rsid w:val="004C39BD"/>
    <w:rsid w:val="004D35E9"/>
    <w:rsid w:val="004D78BE"/>
    <w:rsid w:val="00504508"/>
    <w:rsid w:val="005047DC"/>
    <w:rsid w:val="00550D5F"/>
    <w:rsid w:val="005511FA"/>
    <w:rsid w:val="005B4AD4"/>
    <w:rsid w:val="005D0253"/>
    <w:rsid w:val="005D1091"/>
    <w:rsid w:val="00613A63"/>
    <w:rsid w:val="00623F1B"/>
    <w:rsid w:val="006268D1"/>
    <w:rsid w:val="006408EF"/>
    <w:rsid w:val="006C084D"/>
    <w:rsid w:val="006D2D09"/>
    <w:rsid w:val="0071413B"/>
    <w:rsid w:val="00730E86"/>
    <w:rsid w:val="00745F12"/>
    <w:rsid w:val="00757578"/>
    <w:rsid w:val="00786188"/>
    <w:rsid w:val="007879D5"/>
    <w:rsid w:val="007A2287"/>
    <w:rsid w:val="007A288A"/>
    <w:rsid w:val="007C08AD"/>
    <w:rsid w:val="007C4096"/>
    <w:rsid w:val="007C6D37"/>
    <w:rsid w:val="007D3514"/>
    <w:rsid w:val="007F37DC"/>
    <w:rsid w:val="007F54B9"/>
    <w:rsid w:val="00842846"/>
    <w:rsid w:val="00855E8E"/>
    <w:rsid w:val="008717FF"/>
    <w:rsid w:val="008844E9"/>
    <w:rsid w:val="008D218D"/>
    <w:rsid w:val="009148EC"/>
    <w:rsid w:val="00917030"/>
    <w:rsid w:val="0096146F"/>
    <w:rsid w:val="00993F30"/>
    <w:rsid w:val="009C75D7"/>
    <w:rsid w:val="009D12A2"/>
    <w:rsid w:val="009E62FF"/>
    <w:rsid w:val="00A161D1"/>
    <w:rsid w:val="00A44E7C"/>
    <w:rsid w:val="00A62E30"/>
    <w:rsid w:val="00A74E19"/>
    <w:rsid w:val="00A74F0F"/>
    <w:rsid w:val="00A8321F"/>
    <w:rsid w:val="00A94898"/>
    <w:rsid w:val="00AC33B0"/>
    <w:rsid w:val="00AE7634"/>
    <w:rsid w:val="00B26FA0"/>
    <w:rsid w:val="00B63676"/>
    <w:rsid w:val="00B82C38"/>
    <w:rsid w:val="00B92091"/>
    <w:rsid w:val="00B95726"/>
    <w:rsid w:val="00BE156D"/>
    <w:rsid w:val="00C16A10"/>
    <w:rsid w:val="00C807EC"/>
    <w:rsid w:val="00C9727E"/>
    <w:rsid w:val="00CC3FC8"/>
    <w:rsid w:val="00CD765C"/>
    <w:rsid w:val="00D349A6"/>
    <w:rsid w:val="00D70516"/>
    <w:rsid w:val="00D81E0A"/>
    <w:rsid w:val="00DB087A"/>
    <w:rsid w:val="00E01AE3"/>
    <w:rsid w:val="00E04719"/>
    <w:rsid w:val="00E320BD"/>
    <w:rsid w:val="00E35FBD"/>
    <w:rsid w:val="00F011EA"/>
    <w:rsid w:val="00F0655C"/>
    <w:rsid w:val="00F25304"/>
    <w:rsid w:val="00F25712"/>
    <w:rsid w:val="00F54512"/>
    <w:rsid w:val="00F73BA4"/>
    <w:rsid w:val="00FA2D8C"/>
    <w:rsid w:val="00FA7038"/>
    <w:rsid w:val="00FC1890"/>
    <w:rsid w:val="00F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2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A6"/>
  </w:style>
  <w:style w:type="paragraph" w:styleId="1">
    <w:name w:val="heading 1"/>
    <w:basedOn w:val="a"/>
    <w:next w:val="a"/>
    <w:link w:val="10"/>
    <w:qFormat/>
    <w:rsid w:val="00F257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71413B"/>
    <w:pPr>
      <w:keepNext/>
      <w:spacing w:after="0" w:line="240" w:lineRule="auto"/>
      <w:ind w:left="-20" w:firstLine="2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413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1413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FF99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1413B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413B"/>
    <w:pPr>
      <w:keepNext/>
      <w:spacing w:after="0" w:line="24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413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19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25712"/>
    <w:rPr>
      <w:rFonts w:ascii="Arial" w:hAnsi="Arial" w:cs="Arial"/>
      <w:b/>
      <w:bCs/>
      <w:color w:val="26282F"/>
      <w:sz w:val="24"/>
      <w:szCs w:val="24"/>
    </w:rPr>
  </w:style>
  <w:style w:type="table" w:customStyle="1" w:styleId="31">
    <w:name w:val="Сетка таблицы3"/>
    <w:basedOn w:val="a1"/>
    <w:next w:val="a3"/>
    <w:rsid w:val="00D349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717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413B"/>
    <w:rPr>
      <w:rFonts w:ascii="Times New Roman" w:eastAsia="Times New Roman" w:hAnsi="Times New Roman" w:cs="Times New Roman"/>
      <w:b/>
      <w:bCs/>
      <w:color w:val="FF99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1413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1413B"/>
    <w:rPr>
      <w:rFonts w:ascii="Times New Roman" w:eastAsia="Times New Roman" w:hAnsi="Times New Roman" w:cs="Times New Roman"/>
      <w:b/>
      <w:bCs/>
      <w:sz w:val="19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413B"/>
  </w:style>
  <w:style w:type="paragraph" w:styleId="a5">
    <w:name w:val="Title"/>
    <w:basedOn w:val="a"/>
    <w:link w:val="a6"/>
    <w:qFormat/>
    <w:rsid w:val="007141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141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Indent 3"/>
    <w:basedOn w:val="a"/>
    <w:link w:val="33"/>
    <w:semiHidden/>
    <w:rsid w:val="007141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7141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990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1413B"/>
    <w:rPr>
      <w:rFonts w:ascii="Times New Roman" w:eastAsia="Times New Roman" w:hAnsi="Times New Roman" w:cs="Times New Roman"/>
      <w:color w:val="FF9900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7141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7141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rsid w:val="0071413B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14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71413B"/>
    <w:rPr>
      <w:vertAlign w:val="superscript"/>
    </w:rPr>
  </w:style>
  <w:style w:type="paragraph" w:customStyle="1" w:styleId="ae">
    <w:name w:val="Документ"/>
    <w:basedOn w:val="a"/>
    <w:rsid w:val="0071413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header"/>
    <w:basedOn w:val="a"/>
    <w:link w:val="af0"/>
    <w:uiPriority w:val="99"/>
    <w:rsid w:val="00714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semiHidden/>
    <w:rsid w:val="0071413B"/>
  </w:style>
  <w:style w:type="paragraph" w:customStyle="1" w:styleId="ConsPlusNonformat">
    <w:name w:val="ConsPlusNonformat"/>
    <w:rsid w:val="0071413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71413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71413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71413B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Cell">
    <w:name w:val="ConsPlusCell"/>
    <w:uiPriority w:val="99"/>
    <w:rsid w:val="007141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3"/>
    <w:basedOn w:val="a"/>
    <w:link w:val="35"/>
    <w:rsid w:val="0071413B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71413B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7141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71413B"/>
    <w:pPr>
      <w:spacing w:after="0" w:line="240" w:lineRule="auto"/>
      <w:ind w:right="-99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Знак Знак Знак"/>
    <w:basedOn w:val="a"/>
    <w:rsid w:val="007141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71413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71413B"/>
    <w:rPr>
      <w:b/>
      <w:bCs/>
    </w:rPr>
  </w:style>
  <w:style w:type="character" w:styleId="af5">
    <w:name w:val="Emphasis"/>
    <w:uiPriority w:val="20"/>
    <w:qFormat/>
    <w:rsid w:val="0071413B"/>
    <w:rPr>
      <w:i/>
      <w:iCs/>
    </w:rPr>
  </w:style>
  <w:style w:type="paragraph" w:styleId="af6">
    <w:name w:val="endnote text"/>
    <w:basedOn w:val="a"/>
    <w:link w:val="af7"/>
    <w:uiPriority w:val="99"/>
    <w:semiHidden/>
    <w:unhideWhenUsed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714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uiPriority w:val="99"/>
    <w:semiHidden/>
    <w:unhideWhenUsed/>
    <w:rsid w:val="0071413B"/>
    <w:rPr>
      <w:vertAlign w:val="superscript"/>
    </w:rPr>
  </w:style>
  <w:style w:type="paragraph" w:customStyle="1" w:styleId="ConsPlusNormal">
    <w:name w:val="ConsPlusNormal"/>
    <w:rsid w:val="007141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4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71413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71413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3">
    <w:name w:val="Без интервала1"/>
    <w:rsid w:val="0071413B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styleId="afb">
    <w:name w:val="Hyperlink"/>
    <w:uiPriority w:val="99"/>
    <w:unhideWhenUsed/>
    <w:rsid w:val="0071413B"/>
    <w:rPr>
      <w:color w:val="0000FF"/>
      <w:u w:val="single"/>
    </w:rPr>
  </w:style>
  <w:style w:type="paragraph" w:customStyle="1" w:styleId="14">
    <w:name w:val="с интервалом1"/>
    <w:next w:val="afc"/>
    <w:uiPriority w:val="1"/>
    <w:qFormat/>
    <w:rsid w:val="0071413B"/>
    <w:pPr>
      <w:spacing w:before="120" w:after="0" w:line="240" w:lineRule="auto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uiPriority w:val="99"/>
    <w:rsid w:val="007141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714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71413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E76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A6"/>
  </w:style>
  <w:style w:type="paragraph" w:styleId="1">
    <w:name w:val="heading 1"/>
    <w:basedOn w:val="a"/>
    <w:next w:val="a"/>
    <w:link w:val="10"/>
    <w:qFormat/>
    <w:rsid w:val="00F257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71413B"/>
    <w:pPr>
      <w:keepNext/>
      <w:spacing w:after="0" w:line="240" w:lineRule="auto"/>
      <w:ind w:left="-20" w:firstLine="2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413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1413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FF99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1413B"/>
    <w:pPr>
      <w:keepNext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413B"/>
    <w:pPr>
      <w:keepNext/>
      <w:spacing w:after="0" w:line="24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413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19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25712"/>
    <w:rPr>
      <w:rFonts w:ascii="Arial" w:hAnsi="Arial" w:cs="Arial"/>
      <w:b/>
      <w:bCs/>
      <w:color w:val="26282F"/>
      <w:sz w:val="24"/>
      <w:szCs w:val="24"/>
    </w:rPr>
  </w:style>
  <w:style w:type="table" w:customStyle="1" w:styleId="31">
    <w:name w:val="Сетка таблицы3"/>
    <w:basedOn w:val="a1"/>
    <w:next w:val="a3"/>
    <w:rsid w:val="00D349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717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413B"/>
    <w:rPr>
      <w:rFonts w:ascii="Times New Roman" w:eastAsia="Times New Roman" w:hAnsi="Times New Roman" w:cs="Times New Roman"/>
      <w:b/>
      <w:bCs/>
      <w:color w:val="FF99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1413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1413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1413B"/>
    <w:rPr>
      <w:rFonts w:ascii="Times New Roman" w:eastAsia="Times New Roman" w:hAnsi="Times New Roman" w:cs="Times New Roman"/>
      <w:b/>
      <w:bCs/>
      <w:sz w:val="19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413B"/>
  </w:style>
  <w:style w:type="paragraph" w:styleId="a5">
    <w:name w:val="Title"/>
    <w:basedOn w:val="a"/>
    <w:link w:val="a6"/>
    <w:qFormat/>
    <w:rsid w:val="007141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141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Indent 3"/>
    <w:basedOn w:val="a"/>
    <w:link w:val="33"/>
    <w:semiHidden/>
    <w:rsid w:val="007141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7141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990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1413B"/>
    <w:rPr>
      <w:rFonts w:ascii="Times New Roman" w:eastAsia="Times New Roman" w:hAnsi="Times New Roman" w:cs="Times New Roman"/>
      <w:color w:val="FF9900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7141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7141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rsid w:val="0071413B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14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71413B"/>
    <w:rPr>
      <w:vertAlign w:val="superscript"/>
    </w:rPr>
  </w:style>
  <w:style w:type="paragraph" w:customStyle="1" w:styleId="ae">
    <w:name w:val="Документ"/>
    <w:basedOn w:val="a"/>
    <w:rsid w:val="0071413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header"/>
    <w:basedOn w:val="a"/>
    <w:link w:val="af0"/>
    <w:uiPriority w:val="99"/>
    <w:rsid w:val="00714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semiHidden/>
    <w:rsid w:val="0071413B"/>
  </w:style>
  <w:style w:type="paragraph" w:customStyle="1" w:styleId="ConsPlusNonformat">
    <w:name w:val="ConsPlusNonformat"/>
    <w:rsid w:val="0071413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71413B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71413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71413B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Cell">
    <w:name w:val="ConsPlusCell"/>
    <w:uiPriority w:val="99"/>
    <w:rsid w:val="007141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3"/>
    <w:basedOn w:val="a"/>
    <w:link w:val="35"/>
    <w:rsid w:val="0071413B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71413B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7141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71413B"/>
    <w:pPr>
      <w:spacing w:after="0" w:line="240" w:lineRule="auto"/>
      <w:ind w:right="-99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Знак Знак Знак"/>
    <w:basedOn w:val="a"/>
    <w:rsid w:val="007141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71413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71413B"/>
    <w:rPr>
      <w:b/>
      <w:bCs/>
    </w:rPr>
  </w:style>
  <w:style w:type="character" w:styleId="af5">
    <w:name w:val="Emphasis"/>
    <w:uiPriority w:val="20"/>
    <w:qFormat/>
    <w:rsid w:val="0071413B"/>
    <w:rPr>
      <w:i/>
      <w:iCs/>
    </w:rPr>
  </w:style>
  <w:style w:type="paragraph" w:styleId="af6">
    <w:name w:val="endnote text"/>
    <w:basedOn w:val="a"/>
    <w:link w:val="af7"/>
    <w:uiPriority w:val="99"/>
    <w:semiHidden/>
    <w:unhideWhenUsed/>
    <w:rsid w:val="0071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714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uiPriority w:val="99"/>
    <w:semiHidden/>
    <w:unhideWhenUsed/>
    <w:rsid w:val="0071413B"/>
    <w:rPr>
      <w:vertAlign w:val="superscript"/>
    </w:rPr>
  </w:style>
  <w:style w:type="paragraph" w:customStyle="1" w:styleId="ConsPlusNormal">
    <w:name w:val="ConsPlusNormal"/>
    <w:rsid w:val="007141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4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71413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71413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3">
    <w:name w:val="Без интервала1"/>
    <w:rsid w:val="0071413B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styleId="afb">
    <w:name w:val="Hyperlink"/>
    <w:uiPriority w:val="99"/>
    <w:unhideWhenUsed/>
    <w:rsid w:val="0071413B"/>
    <w:rPr>
      <w:color w:val="0000FF"/>
      <w:u w:val="single"/>
    </w:rPr>
  </w:style>
  <w:style w:type="paragraph" w:customStyle="1" w:styleId="14">
    <w:name w:val="с интервалом1"/>
    <w:next w:val="afc"/>
    <w:uiPriority w:val="1"/>
    <w:qFormat/>
    <w:rsid w:val="0071413B"/>
    <w:pPr>
      <w:spacing w:before="120" w:after="0" w:line="240" w:lineRule="auto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uiPriority w:val="99"/>
    <w:rsid w:val="007141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714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714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71413B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E7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%20&#1089;hulinaii@tura.evenky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4732</Words>
  <Characters>26976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Побелустиков А.В.</dc:creator>
  <cp:lastModifiedBy>Чулина И.И.</cp:lastModifiedBy>
  <cp:revision>2</cp:revision>
  <cp:lastPrinted>2022-11-02T07:32:00Z</cp:lastPrinted>
  <dcterms:created xsi:type="dcterms:W3CDTF">2023-05-05T02:49:00Z</dcterms:created>
  <dcterms:modified xsi:type="dcterms:W3CDTF">2023-05-05T02:49:00Z</dcterms:modified>
</cp:coreProperties>
</file>